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1F2C8" w14:textId="77777777" w:rsidR="00997C93" w:rsidRDefault="00997C93" w:rsidP="00997C93">
      <w:pPr>
        <w:pStyle w:val="Titolo"/>
        <w:jc w:val="center"/>
        <w:rPr>
          <w:rFonts w:ascii="Times New Roman" w:hAnsi="Times New Roman" w:cs="Times New Roman"/>
          <w:b/>
        </w:rPr>
      </w:pPr>
    </w:p>
    <w:p w14:paraId="3F5B9FB9" w14:textId="77777777" w:rsidR="00997C93" w:rsidRDefault="00997C93" w:rsidP="00997C93">
      <w:pPr>
        <w:pStyle w:val="Titolo"/>
        <w:jc w:val="center"/>
        <w:rPr>
          <w:rFonts w:ascii="Times New Roman" w:hAnsi="Times New Roman" w:cs="Times New Roman"/>
          <w:b/>
        </w:rPr>
      </w:pPr>
    </w:p>
    <w:p w14:paraId="390B5778" w14:textId="77777777" w:rsidR="00997C93" w:rsidRDefault="00997C93" w:rsidP="00997C93">
      <w:pPr>
        <w:pStyle w:val="Titolo"/>
        <w:jc w:val="center"/>
        <w:rPr>
          <w:rFonts w:ascii="Times New Roman" w:hAnsi="Times New Roman" w:cs="Times New Roman"/>
          <w:b/>
        </w:rPr>
      </w:pPr>
    </w:p>
    <w:p w14:paraId="03277994" w14:textId="77777777" w:rsidR="00997C93" w:rsidRDefault="00997C93" w:rsidP="00997C93">
      <w:pPr>
        <w:pStyle w:val="Titolo"/>
        <w:jc w:val="center"/>
        <w:rPr>
          <w:rFonts w:ascii="Times New Roman" w:hAnsi="Times New Roman" w:cs="Times New Roman"/>
          <w:b/>
        </w:rPr>
      </w:pPr>
    </w:p>
    <w:p w14:paraId="1C6FD439" w14:textId="77777777" w:rsidR="00997C93" w:rsidRDefault="00997C93" w:rsidP="00997C93">
      <w:pPr>
        <w:pStyle w:val="Titolo"/>
        <w:jc w:val="center"/>
        <w:rPr>
          <w:rFonts w:ascii="Times New Roman" w:hAnsi="Times New Roman" w:cs="Times New Roman"/>
          <w:b/>
        </w:rPr>
      </w:pPr>
      <w:r w:rsidRPr="005B5877">
        <w:rPr>
          <w:rFonts w:ascii="Times New Roman" w:hAnsi="Times New Roman" w:cs="Times New Roman"/>
          <w:b/>
        </w:rPr>
        <w:t>Vimercati S.p.A.</w:t>
      </w:r>
    </w:p>
    <w:p w14:paraId="092D3DB1" w14:textId="77777777" w:rsidR="00997C93" w:rsidRPr="005B5877" w:rsidRDefault="00997C93" w:rsidP="00997C93"/>
    <w:p w14:paraId="27A47583" w14:textId="77777777" w:rsidR="00997C93" w:rsidRDefault="00997C93" w:rsidP="00997C93">
      <w:pPr>
        <w:pStyle w:val="Nessunaspaziatura"/>
        <w:spacing w:before="120"/>
        <w:jc w:val="center"/>
        <w:rPr>
          <w:sz w:val="44"/>
        </w:rPr>
      </w:pPr>
      <w:r>
        <w:rPr>
          <w:sz w:val="44"/>
        </w:rPr>
        <w:t>Masterfile</w:t>
      </w:r>
    </w:p>
    <w:p w14:paraId="6B3CDDA2" w14:textId="5C003578" w:rsidR="00ED3E3F" w:rsidRDefault="00997C93" w:rsidP="00997C93">
      <w:pPr>
        <w:jc w:val="center"/>
        <w:rPr>
          <w:sz w:val="32"/>
        </w:rPr>
      </w:pPr>
      <w:r>
        <w:rPr>
          <w:sz w:val="32"/>
        </w:rPr>
        <w:t xml:space="preserve">Periodo d’imposta </w:t>
      </w:r>
      <w:r w:rsidR="00216A19">
        <w:rPr>
          <w:sz w:val="32"/>
        </w:rPr>
        <w:t>201</w:t>
      </w:r>
      <w:r w:rsidR="00446AA6">
        <w:rPr>
          <w:sz w:val="32"/>
        </w:rPr>
        <w:t>8</w:t>
      </w:r>
    </w:p>
    <w:p w14:paraId="190F6ECA" w14:textId="77777777" w:rsidR="00997C93" w:rsidRDefault="00997C93">
      <w:pPr>
        <w:spacing w:before="0" w:after="160" w:line="259" w:lineRule="auto"/>
        <w:jc w:val="left"/>
        <w:rPr>
          <w:sz w:val="32"/>
        </w:rPr>
      </w:pPr>
      <w:r>
        <w:rPr>
          <w:sz w:val="32"/>
        </w:rPr>
        <w:br w:type="page"/>
      </w:r>
    </w:p>
    <w:sdt>
      <w:sdtPr>
        <w:rPr>
          <w:rFonts w:eastAsiaTheme="minorHAnsi" w:cstheme="minorBidi"/>
          <w:b w:val="0"/>
          <w:sz w:val="22"/>
          <w:szCs w:val="22"/>
          <w:lang w:eastAsia="en-US"/>
        </w:rPr>
        <w:id w:val="-402442369"/>
        <w:docPartObj>
          <w:docPartGallery w:val="Table of Contents"/>
          <w:docPartUnique/>
        </w:docPartObj>
      </w:sdtPr>
      <w:sdtEndPr>
        <w:rPr>
          <w:bCs/>
        </w:rPr>
      </w:sdtEndPr>
      <w:sdtContent>
        <w:p w14:paraId="0019F442" w14:textId="77777777" w:rsidR="00997C93" w:rsidRDefault="00997C93">
          <w:pPr>
            <w:pStyle w:val="Titolosommario"/>
          </w:pPr>
          <w:r>
            <w:t>Sommario</w:t>
          </w:r>
        </w:p>
        <w:p w14:paraId="4CE12810" w14:textId="77777777" w:rsidR="00B347C2" w:rsidRDefault="00997C93">
          <w:pPr>
            <w:pStyle w:val="Sommario1"/>
            <w:tabs>
              <w:tab w:val="right" w:leader="dot" w:pos="8948"/>
            </w:tabs>
            <w:rPr>
              <w:rFonts w:asciiTheme="minorHAnsi" w:eastAsiaTheme="minorEastAsia" w:hAnsiTheme="minorHAnsi"/>
              <w:noProof/>
              <w:lang w:eastAsia="it-IT"/>
            </w:rPr>
          </w:pPr>
          <w:r>
            <w:rPr>
              <w:b/>
              <w:bCs/>
            </w:rPr>
            <w:fldChar w:fldCharType="begin"/>
          </w:r>
          <w:r>
            <w:rPr>
              <w:b/>
              <w:bCs/>
            </w:rPr>
            <w:instrText xml:space="preserve"> TOC \o "1-3" \h \z \u </w:instrText>
          </w:r>
          <w:r>
            <w:rPr>
              <w:b/>
              <w:bCs/>
            </w:rPr>
            <w:fldChar w:fldCharType="separate"/>
          </w:r>
          <w:hyperlink w:anchor="_Toc25674079" w:history="1">
            <w:r w:rsidR="00B347C2" w:rsidRPr="00901E73">
              <w:rPr>
                <w:rStyle w:val="Collegamentoipertestuale"/>
                <w:noProof/>
              </w:rPr>
              <w:t>Glossario</w:t>
            </w:r>
            <w:r w:rsidR="00B347C2">
              <w:rPr>
                <w:noProof/>
                <w:webHidden/>
              </w:rPr>
              <w:tab/>
            </w:r>
            <w:r w:rsidR="00B347C2">
              <w:rPr>
                <w:noProof/>
                <w:webHidden/>
              </w:rPr>
              <w:fldChar w:fldCharType="begin"/>
            </w:r>
            <w:r w:rsidR="00B347C2">
              <w:rPr>
                <w:noProof/>
                <w:webHidden/>
              </w:rPr>
              <w:instrText xml:space="preserve"> PAGEREF _Toc25674079 \h </w:instrText>
            </w:r>
            <w:r w:rsidR="00B347C2">
              <w:rPr>
                <w:noProof/>
                <w:webHidden/>
              </w:rPr>
            </w:r>
            <w:r w:rsidR="00B347C2">
              <w:rPr>
                <w:noProof/>
                <w:webHidden/>
              </w:rPr>
              <w:fldChar w:fldCharType="separate"/>
            </w:r>
            <w:r w:rsidR="00B347C2">
              <w:rPr>
                <w:noProof/>
                <w:webHidden/>
              </w:rPr>
              <w:t>3</w:t>
            </w:r>
            <w:r w:rsidR="00B347C2">
              <w:rPr>
                <w:noProof/>
                <w:webHidden/>
              </w:rPr>
              <w:fldChar w:fldCharType="end"/>
            </w:r>
          </w:hyperlink>
        </w:p>
        <w:p w14:paraId="74CAC6D3"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080" w:history="1">
            <w:r w:rsidR="00B347C2" w:rsidRPr="00901E73">
              <w:rPr>
                <w:rStyle w:val="Collegamentoipertestuale"/>
                <w:noProof/>
              </w:rPr>
              <w:t>1.</w:t>
            </w:r>
            <w:r w:rsidR="00B347C2">
              <w:rPr>
                <w:rFonts w:asciiTheme="minorHAnsi" w:eastAsiaTheme="minorEastAsia" w:hAnsiTheme="minorHAnsi"/>
                <w:noProof/>
                <w:lang w:eastAsia="it-IT"/>
              </w:rPr>
              <w:tab/>
            </w:r>
            <w:r w:rsidR="00B347C2" w:rsidRPr="00901E73">
              <w:rPr>
                <w:rStyle w:val="Collegamentoipertestuale"/>
                <w:noProof/>
              </w:rPr>
              <w:t>Descrizione generale del gruppo multinazionale</w:t>
            </w:r>
            <w:r w:rsidR="00B347C2">
              <w:rPr>
                <w:noProof/>
                <w:webHidden/>
              </w:rPr>
              <w:tab/>
            </w:r>
            <w:r w:rsidR="00B347C2">
              <w:rPr>
                <w:noProof/>
                <w:webHidden/>
              </w:rPr>
              <w:fldChar w:fldCharType="begin"/>
            </w:r>
            <w:r w:rsidR="00B347C2">
              <w:rPr>
                <w:noProof/>
                <w:webHidden/>
              </w:rPr>
              <w:instrText xml:space="preserve"> PAGEREF _Toc25674080 \h </w:instrText>
            </w:r>
            <w:r w:rsidR="00B347C2">
              <w:rPr>
                <w:noProof/>
                <w:webHidden/>
              </w:rPr>
            </w:r>
            <w:r w:rsidR="00B347C2">
              <w:rPr>
                <w:noProof/>
                <w:webHidden/>
              </w:rPr>
              <w:fldChar w:fldCharType="separate"/>
            </w:r>
            <w:r w:rsidR="00B347C2">
              <w:rPr>
                <w:noProof/>
                <w:webHidden/>
              </w:rPr>
              <w:t>4</w:t>
            </w:r>
            <w:r w:rsidR="00B347C2">
              <w:rPr>
                <w:noProof/>
                <w:webHidden/>
              </w:rPr>
              <w:fldChar w:fldCharType="end"/>
            </w:r>
          </w:hyperlink>
        </w:p>
        <w:p w14:paraId="223A84C4"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081" w:history="1">
            <w:r w:rsidR="00B347C2" w:rsidRPr="00901E73">
              <w:rPr>
                <w:rStyle w:val="Collegamentoipertestuale"/>
                <w:noProof/>
              </w:rPr>
              <w:t>2.</w:t>
            </w:r>
            <w:r w:rsidR="00B347C2">
              <w:rPr>
                <w:rFonts w:asciiTheme="minorHAnsi" w:eastAsiaTheme="minorEastAsia" w:hAnsiTheme="minorHAnsi"/>
                <w:noProof/>
                <w:lang w:eastAsia="it-IT"/>
              </w:rPr>
              <w:tab/>
            </w:r>
            <w:r w:rsidR="00B347C2" w:rsidRPr="00901E73">
              <w:rPr>
                <w:rStyle w:val="Collegamentoipertestuale"/>
                <w:noProof/>
              </w:rPr>
              <w:t>Struttura del Gruppo</w:t>
            </w:r>
            <w:r w:rsidR="00B347C2">
              <w:rPr>
                <w:noProof/>
                <w:webHidden/>
              </w:rPr>
              <w:tab/>
            </w:r>
            <w:r w:rsidR="00B347C2">
              <w:rPr>
                <w:noProof/>
                <w:webHidden/>
              </w:rPr>
              <w:fldChar w:fldCharType="begin"/>
            </w:r>
            <w:r w:rsidR="00B347C2">
              <w:rPr>
                <w:noProof/>
                <w:webHidden/>
              </w:rPr>
              <w:instrText xml:space="preserve"> PAGEREF _Toc25674081 \h </w:instrText>
            </w:r>
            <w:r w:rsidR="00B347C2">
              <w:rPr>
                <w:noProof/>
                <w:webHidden/>
              </w:rPr>
            </w:r>
            <w:r w:rsidR="00B347C2">
              <w:rPr>
                <w:noProof/>
                <w:webHidden/>
              </w:rPr>
              <w:fldChar w:fldCharType="separate"/>
            </w:r>
            <w:r w:rsidR="00B347C2">
              <w:rPr>
                <w:noProof/>
                <w:webHidden/>
              </w:rPr>
              <w:t>8</w:t>
            </w:r>
            <w:r w:rsidR="00B347C2">
              <w:rPr>
                <w:noProof/>
                <w:webHidden/>
              </w:rPr>
              <w:fldChar w:fldCharType="end"/>
            </w:r>
          </w:hyperlink>
        </w:p>
        <w:p w14:paraId="3A040D46"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82" w:history="1">
            <w:r w:rsidR="00B347C2" w:rsidRPr="00901E73">
              <w:rPr>
                <w:rStyle w:val="Collegamentoipertestuale"/>
                <w:noProof/>
              </w:rPr>
              <w:t>2.1</w:t>
            </w:r>
            <w:r w:rsidR="00B347C2">
              <w:rPr>
                <w:rFonts w:asciiTheme="minorHAnsi" w:eastAsiaTheme="minorEastAsia" w:hAnsiTheme="minorHAnsi"/>
                <w:noProof/>
                <w:lang w:eastAsia="it-IT"/>
              </w:rPr>
              <w:tab/>
            </w:r>
            <w:r w:rsidR="00B347C2" w:rsidRPr="00901E73">
              <w:rPr>
                <w:rStyle w:val="Collegamentoipertestuale"/>
                <w:noProof/>
              </w:rPr>
              <w:t>Struttura organizzativa</w:t>
            </w:r>
            <w:r w:rsidR="00B347C2">
              <w:rPr>
                <w:noProof/>
                <w:webHidden/>
              </w:rPr>
              <w:tab/>
            </w:r>
            <w:r w:rsidR="00B347C2">
              <w:rPr>
                <w:noProof/>
                <w:webHidden/>
              </w:rPr>
              <w:fldChar w:fldCharType="begin"/>
            </w:r>
            <w:r w:rsidR="00B347C2">
              <w:rPr>
                <w:noProof/>
                <w:webHidden/>
              </w:rPr>
              <w:instrText xml:space="preserve"> PAGEREF _Toc25674082 \h </w:instrText>
            </w:r>
            <w:r w:rsidR="00B347C2">
              <w:rPr>
                <w:noProof/>
                <w:webHidden/>
              </w:rPr>
            </w:r>
            <w:r w:rsidR="00B347C2">
              <w:rPr>
                <w:noProof/>
                <w:webHidden/>
              </w:rPr>
              <w:fldChar w:fldCharType="separate"/>
            </w:r>
            <w:r w:rsidR="00B347C2">
              <w:rPr>
                <w:noProof/>
                <w:webHidden/>
              </w:rPr>
              <w:t>8</w:t>
            </w:r>
            <w:r w:rsidR="00B347C2">
              <w:rPr>
                <w:noProof/>
                <w:webHidden/>
              </w:rPr>
              <w:fldChar w:fldCharType="end"/>
            </w:r>
          </w:hyperlink>
        </w:p>
        <w:p w14:paraId="487E0780"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83" w:history="1">
            <w:r w:rsidR="00B347C2" w:rsidRPr="00901E73">
              <w:rPr>
                <w:rStyle w:val="Collegamentoipertestuale"/>
                <w:noProof/>
              </w:rPr>
              <w:t>2.2</w:t>
            </w:r>
            <w:r w:rsidR="00B347C2">
              <w:rPr>
                <w:rFonts w:asciiTheme="minorHAnsi" w:eastAsiaTheme="minorEastAsia" w:hAnsiTheme="minorHAnsi"/>
                <w:noProof/>
                <w:lang w:eastAsia="it-IT"/>
              </w:rPr>
              <w:tab/>
            </w:r>
            <w:r w:rsidR="00B347C2" w:rsidRPr="00901E73">
              <w:rPr>
                <w:rStyle w:val="Collegamentoipertestuale"/>
                <w:noProof/>
              </w:rPr>
              <w:t>Struttura operativa</w:t>
            </w:r>
            <w:r w:rsidR="00B347C2">
              <w:rPr>
                <w:noProof/>
                <w:webHidden/>
              </w:rPr>
              <w:tab/>
            </w:r>
            <w:r w:rsidR="00B347C2">
              <w:rPr>
                <w:noProof/>
                <w:webHidden/>
              </w:rPr>
              <w:fldChar w:fldCharType="begin"/>
            </w:r>
            <w:r w:rsidR="00B347C2">
              <w:rPr>
                <w:noProof/>
                <w:webHidden/>
              </w:rPr>
              <w:instrText xml:space="preserve"> PAGEREF _Toc25674083 \h </w:instrText>
            </w:r>
            <w:r w:rsidR="00B347C2">
              <w:rPr>
                <w:noProof/>
                <w:webHidden/>
              </w:rPr>
            </w:r>
            <w:r w:rsidR="00B347C2">
              <w:rPr>
                <w:noProof/>
                <w:webHidden/>
              </w:rPr>
              <w:fldChar w:fldCharType="separate"/>
            </w:r>
            <w:r w:rsidR="00B347C2">
              <w:rPr>
                <w:noProof/>
                <w:webHidden/>
              </w:rPr>
              <w:t>8</w:t>
            </w:r>
            <w:r w:rsidR="00B347C2">
              <w:rPr>
                <w:noProof/>
                <w:webHidden/>
              </w:rPr>
              <w:fldChar w:fldCharType="end"/>
            </w:r>
          </w:hyperlink>
        </w:p>
        <w:p w14:paraId="25F2A7DF"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084" w:history="1">
            <w:r w:rsidR="00B347C2" w:rsidRPr="00901E73">
              <w:rPr>
                <w:rStyle w:val="Collegamentoipertestuale"/>
                <w:noProof/>
              </w:rPr>
              <w:t>3.</w:t>
            </w:r>
            <w:r w:rsidR="00B347C2">
              <w:rPr>
                <w:rFonts w:asciiTheme="minorHAnsi" w:eastAsiaTheme="minorEastAsia" w:hAnsiTheme="minorHAnsi"/>
                <w:noProof/>
                <w:lang w:eastAsia="it-IT"/>
              </w:rPr>
              <w:tab/>
            </w:r>
            <w:r w:rsidR="00B347C2" w:rsidRPr="00901E73">
              <w:rPr>
                <w:rStyle w:val="Collegamentoipertestuale"/>
                <w:noProof/>
              </w:rPr>
              <w:t>Strategie generali perseguite dal Gruppo ed eventuali mutamenti di strategia rispetto al periodo d’imposta precedente</w:t>
            </w:r>
            <w:r w:rsidR="00B347C2">
              <w:rPr>
                <w:noProof/>
                <w:webHidden/>
              </w:rPr>
              <w:tab/>
            </w:r>
            <w:r w:rsidR="00B347C2">
              <w:rPr>
                <w:noProof/>
                <w:webHidden/>
              </w:rPr>
              <w:fldChar w:fldCharType="begin"/>
            </w:r>
            <w:r w:rsidR="00B347C2">
              <w:rPr>
                <w:noProof/>
                <w:webHidden/>
              </w:rPr>
              <w:instrText xml:space="preserve"> PAGEREF _Toc25674084 \h </w:instrText>
            </w:r>
            <w:r w:rsidR="00B347C2">
              <w:rPr>
                <w:noProof/>
                <w:webHidden/>
              </w:rPr>
            </w:r>
            <w:r w:rsidR="00B347C2">
              <w:rPr>
                <w:noProof/>
                <w:webHidden/>
              </w:rPr>
              <w:fldChar w:fldCharType="separate"/>
            </w:r>
            <w:r w:rsidR="00B347C2">
              <w:rPr>
                <w:noProof/>
                <w:webHidden/>
              </w:rPr>
              <w:t>11</w:t>
            </w:r>
            <w:r w:rsidR="00B347C2">
              <w:rPr>
                <w:noProof/>
                <w:webHidden/>
              </w:rPr>
              <w:fldChar w:fldCharType="end"/>
            </w:r>
          </w:hyperlink>
        </w:p>
        <w:p w14:paraId="691EDED7"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085" w:history="1">
            <w:r w:rsidR="00B347C2" w:rsidRPr="00901E73">
              <w:rPr>
                <w:rStyle w:val="Collegamentoipertestuale"/>
                <w:noProof/>
                <w:lang w:eastAsia="ja-JP"/>
              </w:rPr>
              <w:t>4.</w:t>
            </w:r>
            <w:r w:rsidR="00B347C2">
              <w:rPr>
                <w:rFonts w:asciiTheme="minorHAnsi" w:eastAsiaTheme="minorEastAsia" w:hAnsiTheme="minorHAnsi"/>
                <w:noProof/>
                <w:lang w:eastAsia="it-IT"/>
              </w:rPr>
              <w:tab/>
            </w:r>
            <w:r w:rsidR="00B347C2" w:rsidRPr="00901E73">
              <w:rPr>
                <w:rStyle w:val="Collegamentoipertestuale"/>
                <w:noProof/>
                <w:lang w:eastAsia="ja-JP"/>
              </w:rPr>
              <w:t>Flussi delle operazioni</w:t>
            </w:r>
            <w:r w:rsidR="00B347C2">
              <w:rPr>
                <w:noProof/>
                <w:webHidden/>
              </w:rPr>
              <w:tab/>
            </w:r>
            <w:r w:rsidR="00B347C2">
              <w:rPr>
                <w:noProof/>
                <w:webHidden/>
              </w:rPr>
              <w:fldChar w:fldCharType="begin"/>
            </w:r>
            <w:r w:rsidR="00B347C2">
              <w:rPr>
                <w:noProof/>
                <w:webHidden/>
              </w:rPr>
              <w:instrText xml:space="preserve"> PAGEREF _Toc25674085 \h </w:instrText>
            </w:r>
            <w:r w:rsidR="00B347C2">
              <w:rPr>
                <w:noProof/>
                <w:webHidden/>
              </w:rPr>
            </w:r>
            <w:r w:rsidR="00B347C2">
              <w:rPr>
                <w:noProof/>
                <w:webHidden/>
              </w:rPr>
              <w:fldChar w:fldCharType="separate"/>
            </w:r>
            <w:r w:rsidR="00B347C2">
              <w:rPr>
                <w:noProof/>
                <w:webHidden/>
              </w:rPr>
              <w:t>13</w:t>
            </w:r>
            <w:r w:rsidR="00B347C2">
              <w:rPr>
                <w:noProof/>
                <w:webHidden/>
              </w:rPr>
              <w:fldChar w:fldCharType="end"/>
            </w:r>
          </w:hyperlink>
        </w:p>
        <w:p w14:paraId="6057CD39"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87" w:history="1">
            <w:r w:rsidR="00B347C2" w:rsidRPr="00901E73">
              <w:rPr>
                <w:rStyle w:val="Collegamentoipertestuale"/>
                <w:noProof/>
                <w:lang w:eastAsia="ja-JP"/>
              </w:rPr>
              <w:t>4.1</w:t>
            </w:r>
            <w:r w:rsidR="00B347C2">
              <w:rPr>
                <w:rFonts w:asciiTheme="minorHAnsi" w:eastAsiaTheme="minorEastAsia" w:hAnsiTheme="minorHAnsi"/>
                <w:noProof/>
                <w:lang w:eastAsia="it-IT"/>
              </w:rPr>
              <w:tab/>
            </w:r>
            <w:r w:rsidR="00B347C2" w:rsidRPr="00901E73">
              <w:rPr>
                <w:rStyle w:val="Collegamentoipertestuale"/>
                <w:noProof/>
                <w:lang w:eastAsia="ja-JP"/>
              </w:rPr>
              <w:t>Transazione T1 – Produzione a contratto</w:t>
            </w:r>
            <w:r w:rsidR="00B347C2">
              <w:rPr>
                <w:noProof/>
                <w:webHidden/>
              </w:rPr>
              <w:tab/>
            </w:r>
            <w:r w:rsidR="00B347C2">
              <w:rPr>
                <w:noProof/>
                <w:webHidden/>
              </w:rPr>
              <w:fldChar w:fldCharType="begin"/>
            </w:r>
            <w:r w:rsidR="00B347C2">
              <w:rPr>
                <w:noProof/>
                <w:webHidden/>
              </w:rPr>
              <w:instrText xml:space="preserve"> PAGEREF _Toc25674087 \h </w:instrText>
            </w:r>
            <w:r w:rsidR="00B347C2">
              <w:rPr>
                <w:noProof/>
                <w:webHidden/>
              </w:rPr>
            </w:r>
            <w:r w:rsidR="00B347C2">
              <w:rPr>
                <w:noProof/>
                <w:webHidden/>
              </w:rPr>
              <w:fldChar w:fldCharType="separate"/>
            </w:r>
            <w:r w:rsidR="00B347C2">
              <w:rPr>
                <w:noProof/>
                <w:webHidden/>
              </w:rPr>
              <w:t>14</w:t>
            </w:r>
            <w:r w:rsidR="00B347C2">
              <w:rPr>
                <w:noProof/>
                <w:webHidden/>
              </w:rPr>
              <w:fldChar w:fldCharType="end"/>
            </w:r>
          </w:hyperlink>
        </w:p>
        <w:p w14:paraId="2368EBDC"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88" w:history="1">
            <w:r w:rsidR="00B347C2" w:rsidRPr="00901E73">
              <w:rPr>
                <w:rStyle w:val="Collegamentoipertestuale"/>
                <w:noProof/>
                <w:lang w:eastAsia="ja-JP"/>
              </w:rPr>
              <w:t>4.2</w:t>
            </w:r>
            <w:r w:rsidR="00B347C2">
              <w:rPr>
                <w:rFonts w:asciiTheme="minorHAnsi" w:eastAsiaTheme="minorEastAsia" w:hAnsiTheme="minorHAnsi"/>
                <w:noProof/>
                <w:lang w:eastAsia="it-IT"/>
              </w:rPr>
              <w:tab/>
            </w:r>
            <w:r w:rsidR="00B347C2" w:rsidRPr="00901E73">
              <w:rPr>
                <w:rStyle w:val="Collegamentoipertestuale"/>
                <w:noProof/>
                <w:lang w:eastAsia="ja-JP"/>
              </w:rPr>
              <w:t>Transazione T2 – Produzione e vendita diretta di componenti</w:t>
            </w:r>
            <w:r w:rsidR="00B347C2">
              <w:rPr>
                <w:noProof/>
                <w:webHidden/>
              </w:rPr>
              <w:tab/>
            </w:r>
            <w:r w:rsidR="00B347C2">
              <w:rPr>
                <w:noProof/>
                <w:webHidden/>
              </w:rPr>
              <w:fldChar w:fldCharType="begin"/>
            </w:r>
            <w:r w:rsidR="00B347C2">
              <w:rPr>
                <w:noProof/>
                <w:webHidden/>
              </w:rPr>
              <w:instrText xml:space="preserve"> PAGEREF _Toc25674088 \h </w:instrText>
            </w:r>
            <w:r w:rsidR="00B347C2">
              <w:rPr>
                <w:noProof/>
                <w:webHidden/>
              </w:rPr>
            </w:r>
            <w:r w:rsidR="00B347C2">
              <w:rPr>
                <w:noProof/>
                <w:webHidden/>
              </w:rPr>
              <w:fldChar w:fldCharType="separate"/>
            </w:r>
            <w:r w:rsidR="00B347C2">
              <w:rPr>
                <w:noProof/>
                <w:webHidden/>
              </w:rPr>
              <w:t>15</w:t>
            </w:r>
            <w:r w:rsidR="00B347C2">
              <w:rPr>
                <w:noProof/>
                <w:webHidden/>
              </w:rPr>
              <w:fldChar w:fldCharType="end"/>
            </w:r>
          </w:hyperlink>
        </w:p>
        <w:p w14:paraId="0B2D1CD5"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89" w:history="1">
            <w:r w:rsidR="00B347C2" w:rsidRPr="00901E73">
              <w:rPr>
                <w:rStyle w:val="Collegamentoipertestuale"/>
                <w:noProof/>
                <w:lang w:eastAsia="ja-JP"/>
              </w:rPr>
              <w:t>4.3</w:t>
            </w:r>
            <w:r w:rsidR="00B347C2">
              <w:rPr>
                <w:rFonts w:asciiTheme="minorHAnsi" w:eastAsiaTheme="minorEastAsia" w:hAnsiTheme="minorHAnsi"/>
                <w:noProof/>
                <w:lang w:eastAsia="it-IT"/>
              </w:rPr>
              <w:tab/>
            </w:r>
            <w:r w:rsidR="00B347C2" w:rsidRPr="00901E73">
              <w:rPr>
                <w:rStyle w:val="Collegamentoipertestuale"/>
                <w:noProof/>
                <w:lang w:eastAsia="ja-JP"/>
              </w:rPr>
              <w:t>Transazione T3 – Acquisto di componenti</w:t>
            </w:r>
            <w:r w:rsidR="00B347C2">
              <w:rPr>
                <w:noProof/>
                <w:webHidden/>
              </w:rPr>
              <w:tab/>
            </w:r>
            <w:r w:rsidR="00B347C2">
              <w:rPr>
                <w:noProof/>
                <w:webHidden/>
              </w:rPr>
              <w:fldChar w:fldCharType="begin"/>
            </w:r>
            <w:r w:rsidR="00B347C2">
              <w:rPr>
                <w:noProof/>
                <w:webHidden/>
              </w:rPr>
              <w:instrText xml:space="preserve"> PAGEREF _Toc25674089 \h </w:instrText>
            </w:r>
            <w:r w:rsidR="00B347C2">
              <w:rPr>
                <w:noProof/>
                <w:webHidden/>
              </w:rPr>
            </w:r>
            <w:r w:rsidR="00B347C2">
              <w:rPr>
                <w:noProof/>
                <w:webHidden/>
              </w:rPr>
              <w:fldChar w:fldCharType="separate"/>
            </w:r>
            <w:r w:rsidR="00B347C2">
              <w:rPr>
                <w:noProof/>
                <w:webHidden/>
              </w:rPr>
              <w:t>18</w:t>
            </w:r>
            <w:r w:rsidR="00B347C2">
              <w:rPr>
                <w:noProof/>
                <w:webHidden/>
              </w:rPr>
              <w:fldChar w:fldCharType="end"/>
            </w:r>
          </w:hyperlink>
        </w:p>
        <w:p w14:paraId="5CB7DCE9"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90" w:history="1">
            <w:r w:rsidR="00B347C2" w:rsidRPr="00901E73">
              <w:rPr>
                <w:rStyle w:val="Collegamentoipertestuale"/>
                <w:noProof/>
                <w:lang w:eastAsia="ja-JP"/>
              </w:rPr>
              <w:t>4.4</w:t>
            </w:r>
            <w:r w:rsidR="00B347C2">
              <w:rPr>
                <w:rFonts w:asciiTheme="minorHAnsi" w:eastAsiaTheme="minorEastAsia" w:hAnsiTheme="minorHAnsi"/>
                <w:noProof/>
                <w:lang w:eastAsia="it-IT"/>
              </w:rPr>
              <w:tab/>
            </w:r>
            <w:r w:rsidR="00B347C2" w:rsidRPr="00901E73">
              <w:rPr>
                <w:rStyle w:val="Collegamentoipertestuale"/>
                <w:noProof/>
                <w:lang w:eastAsia="ja-JP"/>
              </w:rPr>
              <w:t>Transazioni residuali</w:t>
            </w:r>
            <w:r w:rsidR="00B347C2">
              <w:rPr>
                <w:noProof/>
                <w:webHidden/>
              </w:rPr>
              <w:tab/>
            </w:r>
            <w:r w:rsidR="00B347C2">
              <w:rPr>
                <w:noProof/>
                <w:webHidden/>
              </w:rPr>
              <w:fldChar w:fldCharType="begin"/>
            </w:r>
            <w:r w:rsidR="00B347C2">
              <w:rPr>
                <w:noProof/>
                <w:webHidden/>
              </w:rPr>
              <w:instrText xml:space="preserve"> PAGEREF _Toc25674090 \h </w:instrText>
            </w:r>
            <w:r w:rsidR="00B347C2">
              <w:rPr>
                <w:noProof/>
                <w:webHidden/>
              </w:rPr>
            </w:r>
            <w:r w:rsidR="00B347C2">
              <w:rPr>
                <w:noProof/>
                <w:webHidden/>
              </w:rPr>
              <w:fldChar w:fldCharType="separate"/>
            </w:r>
            <w:r w:rsidR="00B347C2">
              <w:rPr>
                <w:noProof/>
                <w:webHidden/>
              </w:rPr>
              <w:t>19</w:t>
            </w:r>
            <w:r w:rsidR="00B347C2">
              <w:rPr>
                <w:noProof/>
                <w:webHidden/>
              </w:rPr>
              <w:fldChar w:fldCharType="end"/>
            </w:r>
          </w:hyperlink>
        </w:p>
        <w:p w14:paraId="14A2C611"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091" w:history="1">
            <w:r w:rsidR="00B347C2" w:rsidRPr="00901E73">
              <w:rPr>
                <w:rStyle w:val="Collegamentoipertestuale"/>
                <w:noProof/>
              </w:rPr>
              <w:t>5.</w:t>
            </w:r>
            <w:r w:rsidR="00B347C2">
              <w:rPr>
                <w:rFonts w:asciiTheme="minorHAnsi" w:eastAsiaTheme="minorEastAsia" w:hAnsiTheme="minorHAnsi"/>
                <w:noProof/>
                <w:lang w:eastAsia="it-IT"/>
              </w:rPr>
              <w:tab/>
            </w:r>
            <w:r w:rsidR="00B347C2" w:rsidRPr="00901E73">
              <w:rPr>
                <w:rStyle w:val="Collegamentoipertestuale"/>
                <w:noProof/>
              </w:rPr>
              <w:t>Operazioni infragruppo</w:t>
            </w:r>
            <w:r w:rsidR="00B347C2">
              <w:rPr>
                <w:noProof/>
                <w:webHidden/>
              </w:rPr>
              <w:tab/>
            </w:r>
            <w:r w:rsidR="00B347C2">
              <w:rPr>
                <w:noProof/>
                <w:webHidden/>
              </w:rPr>
              <w:fldChar w:fldCharType="begin"/>
            </w:r>
            <w:r w:rsidR="00B347C2">
              <w:rPr>
                <w:noProof/>
                <w:webHidden/>
              </w:rPr>
              <w:instrText xml:space="preserve"> PAGEREF _Toc25674091 \h </w:instrText>
            </w:r>
            <w:r w:rsidR="00B347C2">
              <w:rPr>
                <w:noProof/>
                <w:webHidden/>
              </w:rPr>
            </w:r>
            <w:r w:rsidR="00B347C2">
              <w:rPr>
                <w:noProof/>
                <w:webHidden/>
              </w:rPr>
              <w:fldChar w:fldCharType="separate"/>
            </w:r>
            <w:r w:rsidR="00B347C2">
              <w:rPr>
                <w:noProof/>
                <w:webHidden/>
              </w:rPr>
              <w:t>20</w:t>
            </w:r>
            <w:r w:rsidR="00B347C2">
              <w:rPr>
                <w:noProof/>
                <w:webHidden/>
              </w:rPr>
              <w:fldChar w:fldCharType="end"/>
            </w:r>
          </w:hyperlink>
        </w:p>
        <w:p w14:paraId="43953179"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93" w:history="1">
            <w:r w:rsidR="00B347C2" w:rsidRPr="00901E73">
              <w:rPr>
                <w:rStyle w:val="Collegamentoipertestuale"/>
                <w:noProof/>
              </w:rPr>
              <w:t>5.1</w:t>
            </w:r>
            <w:r w:rsidR="00B347C2">
              <w:rPr>
                <w:rFonts w:asciiTheme="minorHAnsi" w:eastAsiaTheme="minorEastAsia" w:hAnsiTheme="minorHAnsi"/>
                <w:noProof/>
                <w:lang w:eastAsia="it-IT"/>
              </w:rPr>
              <w:tab/>
            </w:r>
            <w:r w:rsidR="00B347C2" w:rsidRPr="00901E73">
              <w:rPr>
                <w:rStyle w:val="Collegamentoipertestuale"/>
                <w:noProof/>
              </w:rPr>
              <w:t>Transazione T1 – Produzione a contratto</w:t>
            </w:r>
            <w:r w:rsidR="00B347C2">
              <w:rPr>
                <w:noProof/>
                <w:webHidden/>
              </w:rPr>
              <w:tab/>
            </w:r>
            <w:r w:rsidR="00B347C2">
              <w:rPr>
                <w:noProof/>
                <w:webHidden/>
              </w:rPr>
              <w:fldChar w:fldCharType="begin"/>
            </w:r>
            <w:r w:rsidR="00B347C2">
              <w:rPr>
                <w:noProof/>
                <w:webHidden/>
              </w:rPr>
              <w:instrText xml:space="preserve"> PAGEREF _Toc25674093 \h </w:instrText>
            </w:r>
            <w:r w:rsidR="00B347C2">
              <w:rPr>
                <w:noProof/>
                <w:webHidden/>
              </w:rPr>
            </w:r>
            <w:r w:rsidR="00B347C2">
              <w:rPr>
                <w:noProof/>
                <w:webHidden/>
              </w:rPr>
              <w:fldChar w:fldCharType="separate"/>
            </w:r>
            <w:r w:rsidR="00B347C2">
              <w:rPr>
                <w:noProof/>
                <w:webHidden/>
              </w:rPr>
              <w:t>20</w:t>
            </w:r>
            <w:r w:rsidR="00B347C2">
              <w:rPr>
                <w:noProof/>
                <w:webHidden/>
              </w:rPr>
              <w:fldChar w:fldCharType="end"/>
            </w:r>
          </w:hyperlink>
        </w:p>
        <w:p w14:paraId="4D97CABE"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94" w:history="1">
            <w:r w:rsidR="00B347C2" w:rsidRPr="00901E73">
              <w:rPr>
                <w:rStyle w:val="Collegamentoipertestuale"/>
                <w:noProof/>
              </w:rPr>
              <w:t>5.2</w:t>
            </w:r>
            <w:r w:rsidR="00B347C2">
              <w:rPr>
                <w:rFonts w:asciiTheme="minorHAnsi" w:eastAsiaTheme="minorEastAsia" w:hAnsiTheme="minorHAnsi"/>
                <w:noProof/>
                <w:lang w:eastAsia="it-IT"/>
              </w:rPr>
              <w:tab/>
            </w:r>
            <w:r w:rsidR="00B347C2" w:rsidRPr="00901E73">
              <w:rPr>
                <w:rStyle w:val="Collegamentoipertestuale"/>
                <w:noProof/>
              </w:rPr>
              <w:t>Transazione T2 – Produzione e vendita diretta di componenti</w:t>
            </w:r>
            <w:r w:rsidR="00B347C2">
              <w:rPr>
                <w:noProof/>
                <w:webHidden/>
              </w:rPr>
              <w:tab/>
            </w:r>
            <w:r w:rsidR="00B347C2">
              <w:rPr>
                <w:noProof/>
                <w:webHidden/>
              </w:rPr>
              <w:fldChar w:fldCharType="begin"/>
            </w:r>
            <w:r w:rsidR="00B347C2">
              <w:rPr>
                <w:noProof/>
                <w:webHidden/>
              </w:rPr>
              <w:instrText xml:space="preserve"> PAGEREF _Toc25674094 \h </w:instrText>
            </w:r>
            <w:r w:rsidR="00B347C2">
              <w:rPr>
                <w:noProof/>
                <w:webHidden/>
              </w:rPr>
            </w:r>
            <w:r w:rsidR="00B347C2">
              <w:rPr>
                <w:noProof/>
                <w:webHidden/>
              </w:rPr>
              <w:fldChar w:fldCharType="separate"/>
            </w:r>
            <w:r w:rsidR="00B347C2">
              <w:rPr>
                <w:noProof/>
                <w:webHidden/>
              </w:rPr>
              <w:t>20</w:t>
            </w:r>
            <w:r w:rsidR="00B347C2">
              <w:rPr>
                <w:noProof/>
                <w:webHidden/>
              </w:rPr>
              <w:fldChar w:fldCharType="end"/>
            </w:r>
          </w:hyperlink>
        </w:p>
        <w:p w14:paraId="5349C86B"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95" w:history="1">
            <w:r w:rsidR="00B347C2" w:rsidRPr="00901E73">
              <w:rPr>
                <w:rStyle w:val="Collegamentoipertestuale"/>
                <w:noProof/>
              </w:rPr>
              <w:t>5.3</w:t>
            </w:r>
            <w:r w:rsidR="00B347C2">
              <w:rPr>
                <w:rFonts w:asciiTheme="minorHAnsi" w:eastAsiaTheme="minorEastAsia" w:hAnsiTheme="minorHAnsi"/>
                <w:noProof/>
                <w:lang w:eastAsia="it-IT"/>
              </w:rPr>
              <w:tab/>
            </w:r>
            <w:r w:rsidR="00B347C2" w:rsidRPr="00901E73">
              <w:rPr>
                <w:rStyle w:val="Collegamentoipertestuale"/>
                <w:noProof/>
              </w:rPr>
              <w:t>Transazione T3 – Acquisto di componenti</w:t>
            </w:r>
            <w:r w:rsidR="00B347C2">
              <w:rPr>
                <w:noProof/>
                <w:webHidden/>
              </w:rPr>
              <w:tab/>
            </w:r>
            <w:r w:rsidR="00B347C2">
              <w:rPr>
                <w:noProof/>
                <w:webHidden/>
              </w:rPr>
              <w:fldChar w:fldCharType="begin"/>
            </w:r>
            <w:r w:rsidR="00B347C2">
              <w:rPr>
                <w:noProof/>
                <w:webHidden/>
              </w:rPr>
              <w:instrText xml:space="preserve"> PAGEREF _Toc25674095 \h </w:instrText>
            </w:r>
            <w:r w:rsidR="00B347C2">
              <w:rPr>
                <w:noProof/>
                <w:webHidden/>
              </w:rPr>
            </w:r>
            <w:r w:rsidR="00B347C2">
              <w:rPr>
                <w:noProof/>
                <w:webHidden/>
              </w:rPr>
              <w:fldChar w:fldCharType="separate"/>
            </w:r>
            <w:r w:rsidR="00B347C2">
              <w:rPr>
                <w:noProof/>
                <w:webHidden/>
              </w:rPr>
              <w:t>22</w:t>
            </w:r>
            <w:r w:rsidR="00B347C2">
              <w:rPr>
                <w:noProof/>
                <w:webHidden/>
              </w:rPr>
              <w:fldChar w:fldCharType="end"/>
            </w:r>
          </w:hyperlink>
        </w:p>
        <w:p w14:paraId="509A9234"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96" w:history="1">
            <w:r w:rsidR="00B347C2" w:rsidRPr="00901E73">
              <w:rPr>
                <w:rStyle w:val="Collegamentoipertestuale"/>
                <w:noProof/>
              </w:rPr>
              <w:t>5.4</w:t>
            </w:r>
            <w:r w:rsidR="00B347C2">
              <w:rPr>
                <w:rFonts w:asciiTheme="minorHAnsi" w:eastAsiaTheme="minorEastAsia" w:hAnsiTheme="minorHAnsi"/>
                <w:noProof/>
                <w:lang w:eastAsia="it-IT"/>
              </w:rPr>
              <w:tab/>
            </w:r>
            <w:r w:rsidR="00B347C2" w:rsidRPr="00901E73">
              <w:rPr>
                <w:rStyle w:val="Collegamentoipertestuale"/>
                <w:noProof/>
              </w:rPr>
              <w:t>Transazioni residuali</w:t>
            </w:r>
            <w:r w:rsidR="00B347C2">
              <w:rPr>
                <w:noProof/>
                <w:webHidden/>
              </w:rPr>
              <w:tab/>
            </w:r>
            <w:r w:rsidR="00B347C2">
              <w:rPr>
                <w:noProof/>
                <w:webHidden/>
              </w:rPr>
              <w:fldChar w:fldCharType="begin"/>
            </w:r>
            <w:r w:rsidR="00B347C2">
              <w:rPr>
                <w:noProof/>
                <w:webHidden/>
              </w:rPr>
              <w:instrText xml:space="preserve"> PAGEREF _Toc25674096 \h </w:instrText>
            </w:r>
            <w:r w:rsidR="00B347C2">
              <w:rPr>
                <w:noProof/>
                <w:webHidden/>
              </w:rPr>
            </w:r>
            <w:r w:rsidR="00B347C2">
              <w:rPr>
                <w:noProof/>
                <w:webHidden/>
              </w:rPr>
              <w:fldChar w:fldCharType="separate"/>
            </w:r>
            <w:r w:rsidR="00B347C2">
              <w:rPr>
                <w:noProof/>
                <w:webHidden/>
              </w:rPr>
              <w:t>22</w:t>
            </w:r>
            <w:r w:rsidR="00B347C2">
              <w:rPr>
                <w:noProof/>
                <w:webHidden/>
              </w:rPr>
              <w:fldChar w:fldCharType="end"/>
            </w:r>
          </w:hyperlink>
        </w:p>
        <w:p w14:paraId="54E7ACDB"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097" w:history="1">
            <w:r w:rsidR="00B347C2" w:rsidRPr="00901E73">
              <w:rPr>
                <w:rStyle w:val="Collegamentoipertestuale"/>
                <w:noProof/>
              </w:rPr>
              <w:t>6.</w:t>
            </w:r>
            <w:r w:rsidR="00B347C2">
              <w:rPr>
                <w:rFonts w:asciiTheme="minorHAnsi" w:eastAsiaTheme="minorEastAsia" w:hAnsiTheme="minorHAnsi"/>
                <w:noProof/>
                <w:lang w:eastAsia="it-IT"/>
              </w:rPr>
              <w:tab/>
            </w:r>
            <w:r w:rsidR="00B347C2" w:rsidRPr="00901E73">
              <w:rPr>
                <w:rStyle w:val="Collegamentoipertestuale"/>
                <w:noProof/>
              </w:rPr>
              <w:t>Funzioni svolte, beni strumentali impiegati e rischi assunti</w:t>
            </w:r>
            <w:r w:rsidR="00B347C2">
              <w:rPr>
                <w:noProof/>
                <w:webHidden/>
              </w:rPr>
              <w:tab/>
            </w:r>
            <w:r w:rsidR="00B347C2">
              <w:rPr>
                <w:noProof/>
                <w:webHidden/>
              </w:rPr>
              <w:fldChar w:fldCharType="begin"/>
            </w:r>
            <w:r w:rsidR="00B347C2">
              <w:rPr>
                <w:noProof/>
                <w:webHidden/>
              </w:rPr>
              <w:instrText xml:space="preserve"> PAGEREF _Toc25674097 \h </w:instrText>
            </w:r>
            <w:r w:rsidR="00B347C2">
              <w:rPr>
                <w:noProof/>
                <w:webHidden/>
              </w:rPr>
            </w:r>
            <w:r w:rsidR="00B347C2">
              <w:rPr>
                <w:noProof/>
                <w:webHidden/>
              </w:rPr>
              <w:fldChar w:fldCharType="separate"/>
            </w:r>
            <w:r w:rsidR="00B347C2">
              <w:rPr>
                <w:noProof/>
                <w:webHidden/>
              </w:rPr>
              <w:t>23</w:t>
            </w:r>
            <w:r w:rsidR="00B347C2">
              <w:rPr>
                <w:noProof/>
                <w:webHidden/>
              </w:rPr>
              <w:fldChar w:fldCharType="end"/>
            </w:r>
          </w:hyperlink>
        </w:p>
        <w:p w14:paraId="56DF30D6"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098" w:history="1">
            <w:r w:rsidR="00B347C2" w:rsidRPr="00901E73">
              <w:rPr>
                <w:rStyle w:val="Collegamentoipertestuale"/>
                <w:noProof/>
              </w:rPr>
              <w:t>6.1</w:t>
            </w:r>
            <w:r w:rsidR="00B347C2">
              <w:rPr>
                <w:rFonts w:asciiTheme="minorHAnsi" w:eastAsiaTheme="minorEastAsia" w:hAnsiTheme="minorHAnsi"/>
                <w:noProof/>
                <w:lang w:eastAsia="it-IT"/>
              </w:rPr>
              <w:tab/>
            </w:r>
            <w:r w:rsidR="00B347C2" w:rsidRPr="00901E73">
              <w:rPr>
                <w:rStyle w:val="Collegamentoipertestuale"/>
                <w:noProof/>
              </w:rPr>
              <w:t>Funzioni svolte</w:t>
            </w:r>
            <w:r w:rsidR="00B347C2">
              <w:rPr>
                <w:noProof/>
                <w:webHidden/>
              </w:rPr>
              <w:tab/>
            </w:r>
            <w:r w:rsidR="00B347C2">
              <w:rPr>
                <w:noProof/>
                <w:webHidden/>
              </w:rPr>
              <w:fldChar w:fldCharType="begin"/>
            </w:r>
            <w:r w:rsidR="00B347C2">
              <w:rPr>
                <w:noProof/>
                <w:webHidden/>
              </w:rPr>
              <w:instrText xml:space="preserve"> PAGEREF _Toc25674098 \h </w:instrText>
            </w:r>
            <w:r w:rsidR="00B347C2">
              <w:rPr>
                <w:noProof/>
                <w:webHidden/>
              </w:rPr>
            </w:r>
            <w:r w:rsidR="00B347C2">
              <w:rPr>
                <w:noProof/>
                <w:webHidden/>
              </w:rPr>
              <w:fldChar w:fldCharType="separate"/>
            </w:r>
            <w:r w:rsidR="00B347C2">
              <w:rPr>
                <w:noProof/>
                <w:webHidden/>
              </w:rPr>
              <w:t>23</w:t>
            </w:r>
            <w:r w:rsidR="00B347C2">
              <w:rPr>
                <w:noProof/>
                <w:webHidden/>
              </w:rPr>
              <w:fldChar w:fldCharType="end"/>
            </w:r>
          </w:hyperlink>
        </w:p>
        <w:p w14:paraId="4B61756E" w14:textId="77777777" w:rsidR="00B347C2" w:rsidRDefault="00A56D1A">
          <w:pPr>
            <w:pStyle w:val="Sommario3"/>
            <w:tabs>
              <w:tab w:val="left" w:pos="1320"/>
              <w:tab w:val="right" w:leader="dot" w:pos="8948"/>
            </w:tabs>
            <w:rPr>
              <w:rFonts w:asciiTheme="minorHAnsi" w:eastAsiaTheme="minorEastAsia" w:hAnsiTheme="minorHAnsi"/>
              <w:noProof/>
              <w:lang w:eastAsia="it-IT"/>
            </w:rPr>
          </w:pPr>
          <w:hyperlink w:anchor="_Toc25674099" w:history="1">
            <w:r w:rsidR="00B347C2" w:rsidRPr="00901E73">
              <w:rPr>
                <w:rStyle w:val="Collegamentoipertestuale"/>
                <w:noProof/>
              </w:rPr>
              <w:t>6.1.1</w:t>
            </w:r>
            <w:r w:rsidR="00B347C2">
              <w:rPr>
                <w:rFonts w:asciiTheme="minorHAnsi" w:eastAsiaTheme="minorEastAsia" w:hAnsiTheme="minorHAnsi"/>
                <w:noProof/>
                <w:lang w:eastAsia="it-IT"/>
              </w:rPr>
              <w:tab/>
            </w:r>
            <w:r w:rsidR="00B347C2" w:rsidRPr="00901E73">
              <w:rPr>
                <w:rStyle w:val="Collegamentoipertestuale"/>
                <w:noProof/>
              </w:rPr>
              <w:t>Vimercati S.p.A.</w:t>
            </w:r>
            <w:r w:rsidR="00B347C2">
              <w:rPr>
                <w:noProof/>
                <w:webHidden/>
              </w:rPr>
              <w:tab/>
            </w:r>
            <w:r w:rsidR="00B347C2">
              <w:rPr>
                <w:noProof/>
                <w:webHidden/>
              </w:rPr>
              <w:fldChar w:fldCharType="begin"/>
            </w:r>
            <w:r w:rsidR="00B347C2">
              <w:rPr>
                <w:noProof/>
                <w:webHidden/>
              </w:rPr>
              <w:instrText xml:space="preserve"> PAGEREF _Toc25674099 \h </w:instrText>
            </w:r>
            <w:r w:rsidR="00B347C2">
              <w:rPr>
                <w:noProof/>
                <w:webHidden/>
              </w:rPr>
            </w:r>
            <w:r w:rsidR="00B347C2">
              <w:rPr>
                <w:noProof/>
                <w:webHidden/>
              </w:rPr>
              <w:fldChar w:fldCharType="separate"/>
            </w:r>
            <w:r w:rsidR="00B347C2">
              <w:rPr>
                <w:noProof/>
                <w:webHidden/>
              </w:rPr>
              <w:t>23</w:t>
            </w:r>
            <w:r w:rsidR="00B347C2">
              <w:rPr>
                <w:noProof/>
                <w:webHidden/>
              </w:rPr>
              <w:fldChar w:fldCharType="end"/>
            </w:r>
          </w:hyperlink>
        </w:p>
        <w:p w14:paraId="74E2E82E" w14:textId="77777777" w:rsidR="00B347C2" w:rsidRDefault="00A56D1A">
          <w:pPr>
            <w:pStyle w:val="Sommario3"/>
            <w:tabs>
              <w:tab w:val="left" w:pos="1320"/>
              <w:tab w:val="right" w:leader="dot" w:pos="8948"/>
            </w:tabs>
            <w:rPr>
              <w:rFonts w:asciiTheme="minorHAnsi" w:eastAsiaTheme="minorEastAsia" w:hAnsiTheme="minorHAnsi"/>
              <w:noProof/>
              <w:lang w:eastAsia="it-IT"/>
            </w:rPr>
          </w:pPr>
          <w:hyperlink w:anchor="_Toc25674100" w:history="1">
            <w:r w:rsidR="00B347C2" w:rsidRPr="00901E73">
              <w:rPr>
                <w:rStyle w:val="Collegamentoipertestuale"/>
                <w:noProof/>
              </w:rPr>
              <w:t>6.1.2</w:t>
            </w:r>
            <w:r w:rsidR="00B347C2">
              <w:rPr>
                <w:rFonts w:asciiTheme="minorHAnsi" w:eastAsiaTheme="minorEastAsia" w:hAnsiTheme="minorHAnsi"/>
                <w:noProof/>
                <w:lang w:eastAsia="it-IT"/>
              </w:rPr>
              <w:tab/>
            </w:r>
            <w:r w:rsidR="00B347C2" w:rsidRPr="00901E73">
              <w:rPr>
                <w:rStyle w:val="Collegamentoipertestuale"/>
                <w:noProof/>
              </w:rPr>
              <w:t>Vimercati East Europe S.r.l.</w:t>
            </w:r>
            <w:r w:rsidR="00B347C2">
              <w:rPr>
                <w:noProof/>
                <w:webHidden/>
              </w:rPr>
              <w:tab/>
            </w:r>
            <w:r w:rsidR="00B347C2">
              <w:rPr>
                <w:noProof/>
                <w:webHidden/>
              </w:rPr>
              <w:fldChar w:fldCharType="begin"/>
            </w:r>
            <w:r w:rsidR="00B347C2">
              <w:rPr>
                <w:noProof/>
                <w:webHidden/>
              </w:rPr>
              <w:instrText xml:space="preserve"> PAGEREF _Toc25674100 \h </w:instrText>
            </w:r>
            <w:r w:rsidR="00B347C2">
              <w:rPr>
                <w:noProof/>
                <w:webHidden/>
              </w:rPr>
            </w:r>
            <w:r w:rsidR="00B347C2">
              <w:rPr>
                <w:noProof/>
                <w:webHidden/>
              </w:rPr>
              <w:fldChar w:fldCharType="separate"/>
            </w:r>
            <w:r w:rsidR="00B347C2">
              <w:rPr>
                <w:noProof/>
                <w:webHidden/>
              </w:rPr>
              <w:t>26</w:t>
            </w:r>
            <w:r w:rsidR="00B347C2">
              <w:rPr>
                <w:noProof/>
                <w:webHidden/>
              </w:rPr>
              <w:fldChar w:fldCharType="end"/>
            </w:r>
          </w:hyperlink>
        </w:p>
        <w:p w14:paraId="3FF22A24" w14:textId="77777777" w:rsidR="00B347C2" w:rsidRDefault="00A56D1A">
          <w:pPr>
            <w:pStyle w:val="Sommario3"/>
            <w:tabs>
              <w:tab w:val="left" w:pos="1320"/>
              <w:tab w:val="right" w:leader="dot" w:pos="8948"/>
            </w:tabs>
            <w:rPr>
              <w:rFonts w:asciiTheme="minorHAnsi" w:eastAsiaTheme="minorEastAsia" w:hAnsiTheme="minorHAnsi"/>
              <w:noProof/>
              <w:lang w:eastAsia="it-IT"/>
            </w:rPr>
          </w:pPr>
          <w:hyperlink w:anchor="_Toc25674101" w:history="1">
            <w:r w:rsidR="00B347C2" w:rsidRPr="00901E73">
              <w:rPr>
                <w:rStyle w:val="Collegamentoipertestuale"/>
                <w:noProof/>
              </w:rPr>
              <w:t>6.1.3</w:t>
            </w:r>
            <w:r w:rsidR="00B347C2">
              <w:rPr>
                <w:rFonts w:asciiTheme="minorHAnsi" w:eastAsiaTheme="minorEastAsia" w:hAnsiTheme="minorHAnsi"/>
                <w:noProof/>
                <w:lang w:eastAsia="it-IT"/>
              </w:rPr>
              <w:tab/>
            </w:r>
            <w:r w:rsidR="00B347C2" w:rsidRPr="00901E73">
              <w:rPr>
                <w:rStyle w:val="Collegamentoipertestuale"/>
                <w:noProof/>
              </w:rPr>
              <w:t>Viney Corporation Ltd</w:t>
            </w:r>
            <w:r w:rsidR="00B347C2">
              <w:rPr>
                <w:noProof/>
                <w:webHidden/>
              </w:rPr>
              <w:tab/>
            </w:r>
            <w:r w:rsidR="00B347C2">
              <w:rPr>
                <w:noProof/>
                <w:webHidden/>
              </w:rPr>
              <w:fldChar w:fldCharType="begin"/>
            </w:r>
            <w:r w:rsidR="00B347C2">
              <w:rPr>
                <w:noProof/>
                <w:webHidden/>
              </w:rPr>
              <w:instrText xml:space="preserve"> PAGEREF _Toc25674101 \h </w:instrText>
            </w:r>
            <w:r w:rsidR="00B347C2">
              <w:rPr>
                <w:noProof/>
                <w:webHidden/>
              </w:rPr>
            </w:r>
            <w:r w:rsidR="00B347C2">
              <w:rPr>
                <w:noProof/>
                <w:webHidden/>
              </w:rPr>
              <w:fldChar w:fldCharType="separate"/>
            </w:r>
            <w:r w:rsidR="00B347C2">
              <w:rPr>
                <w:noProof/>
                <w:webHidden/>
              </w:rPr>
              <w:t>26</w:t>
            </w:r>
            <w:r w:rsidR="00B347C2">
              <w:rPr>
                <w:noProof/>
                <w:webHidden/>
              </w:rPr>
              <w:fldChar w:fldCharType="end"/>
            </w:r>
          </w:hyperlink>
        </w:p>
        <w:p w14:paraId="4847839D"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102" w:history="1">
            <w:r w:rsidR="00B347C2" w:rsidRPr="00901E73">
              <w:rPr>
                <w:rStyle w:val="Collegamentoipertestuale"/>
                <w:noProof/>
              </w:rPr>
              <w:t>6.2</w:t>
            </w:r>
            <w:r w:rsidR="00B347C2">
              <w:rPr>
                <w:rFonts w:asciiTheme="minorHAnsi" w:eastAsiaTheme="minorEastAsia" w:hAnsiTheme="minorHAnsi"/>
                <w:noProof/>
                <w:lang w:eastAsia="it-IT"/>
              </w:rPr>
              <w:tab/>
            </w:r>
            <w:r w:rsidR="00B347C2" w:rsidRPr="00901E73">
              <w:rPr>
                <w:rStyle w:val="Collegamentoipertestuale"/>
                <w:noProof/>
              </w:rPr>
              <w:t>Rischi assunti</w:t>
            </w:r>
            <w:r w:rsidR="00B347C2">
              <w:rPr>
                <w:noProof/>
                <w:webHidden/>
              </w:rPr>
              <w:tab/>
            </w:r>
            <w:r w:rsidR="00B347C2">
              <w:rPr>
                <w:noProof/>
                <w:webHidden/>
              </w:rPr>
              <w:fldChar w:fldCharType="begin"/>
            </w:r>
            <w:r w:rsidR="00B347C2">
              <w:rPr>
                <w:noProof/>
                <w:webHidden/>
              </w:rPr>
              <w:instrText xml:space="preserve"> PAGEREF _Toc25674102 \h </w:instrText>
            </w:r>
            <w:r w:rsidR="00B347C2">
              <w:rPr>
                <w:noProof/>
                <w:webHidden/>
              </w:rPr>
            </w:r>
            <w:r w:rsidR="00B347C2">
              <w:rPr>
                <w:noProof/>
                <w:webHidden/>
              </w:rPr>
              <w:fldChar w:fldCharType="separate"/>
            </w:r>
            <w:r w:rsidR="00B347C2">
              <w:rPr>
                <w:noProof/>
                <w:webHidden/>
              </w:rPr>
              <w:t>27</w:t>
            </w:r>
            <w:r w:rsidR="00B347C2">
              <w:rPr>
                <w:noProof/>
                <w:webHidden/>
              </w:rPr>
              <w:fldChar w:fldCharType="end"/>
            </w:r>
          </w:hyperlink>
        </w:p>
        <w:p w14:paraId="7A910462"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103" w:history="1">
            <w:r w:rsidR="00B347C2" w:rsidRPr="00901E73">
              <w:rPr>
                <w:rStyle w:val="Collegamentoipertestuale"/>
                <w:noProof/>
              </w:rPr>
              <w:t>7.</w:t>
            </w:r>
            <w:r w:rsidR="00B347C2">
              <w:rPr>
                <w:rFonts w:asciiTheme="minorHAnsi" w:eastAsiaTheme="minorEastAsia" w:hAnsiTheme="minorHAnsi"/>
                <w:noProof/>
                <w:lang w:eastAsia="it-IT"/>
              </w:rPr>
              <w:tab/>
            </w:r>
            <w:r w:rsidR="00B347C2" w:rsidRPr="00901E73">
              <w:rPr>
                <w:rStyle w:val="Collegamentoipertestuale"/>
                <w:noProof/>
              </w:rPr>
              <w:t>Beni immateriali</w:t>
            </w:r>
            <w:r w:rsidR="00B347C2">
              <w:rPr>
                <w:noProof/>
                <w:webHidden/>
              </w:rPr>
              <w:tab/>
            </w:r>
            <w:r w:rsidR="00B347C2">
              <w:rPr>
                <w:noProof/>
                <w:webHidden/>
              </w:rPr>
              <w:fldChar w:fldCharType="begin"/>
            </w:r>
            <w:r w:rsidR="00B347C2">
              <w:rPr>
                <w:noProof/>
                <w:webHidden/>
              </w:rPr>
              <w:instrText xml:space="preserve"> PAGEREF _Toc25674103 \h </w:instrText>
            </w:r>
            <w:r w:rsidR="00B347C2">
              <w:rPr>
                <w:noProof/>
                <w:webHidden/>
              </w:rPr>
            </w:r>
            <w:r w:rsidR="00B347C2">
              <w:rPr>
                <w:noProof/>
                <w:webHidden/>
              </w:rPr>
              <w:fldChar w:fldCharType="separate"/>
            </w:r>
            <w:r w:rsidR="00B347C2">
              <w:rPr>
                <w:noProof/>
                <w:webHidden/>
              </w:rPr>
              <w:t>28</w:t>
            </w:r>
            <w:r w:rsidR="00B347C2">
              <w:rPr>
                <w:noProof/>
                <w:webHidden/>
              </w:rPr>
              <w:fldChar w:fldCharType="end"/>
            </w:r>
          </w:hyperlink>
        </w:p>
        <w:p w14:paraId="28622874"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104" w:history="1">
            <w:r w:rsidR="00B347C2" w:rsidRPr="00901E73">
              <w:rPr>
                <w:rStyle w:val="Collegamentoipertestuale"/>
                <w:noProof/>
              </w:rPr>
              <w:t>8.</w:t>
            </w:r>
            <w:r w:rsidR="00B347C2">
              <w:rPr>
                <w:rFonts w:asciiTheme="minorHAnsi" w:eastAsiaTheme="minorEastAsia" w:hAnsiTheme="minorHAnsi"/>
                <w:noProof/>
                <w:lang w:eastAsia="it-IT"/>
              </w:rPr>
              <w:tab/>
            </w:r>
            <w:r w:rsidR="00B347C2" w:rsidRPr="00901E73">
              <w:rPr>
                <w:rStyle w:val="Collegamentoipertestuale"/>
                <w:noProof/>
              </w:rPr>
              <w:t>Politica di determinazione dei prezzi di trasferimento del gruppo</w:t>
            </w:r>
            <w:r w:rsidR="00B347C2">
              <w:rPr>
                <w:noProof/>
                <w:webHidden/>
              </w:rPr>
              <w:tab/>
            </w:r>
            <w:r w:rsidR="00B347C2">
              <w:rPr>
                <w:noProof/>
                <w:webHidden/>
              </w:rPr>
              <w:fldChar w:fldCharType="begin"/>
            </w:r>
            <w:r w:rsidR="00B347C2">
              <w:rPr>
                <w:noProof/>
                <w:webHidden/>
              </w:rPr>
              <w:instrText xml:space="preserve"> PAGEREF _Toc25674104 \h </w:instrText>
            </w:r>
            <w:r w:rsidR="00B347C2">
              <w:rPr>
                <w:noProof/>
                <w:webHidden/>
              </w:rPr>
            </w:r>
            <w:r w:rsidR="00B347C2">
              <w:rPr>
                <w:noProof/>
                <w:webHidden/>
              </w:rPr>
              <w:fldChar w:fldCharType="separate"/>
            </w:r>
            <w:r w:rsidR="00B347C2">
              <w:rPr>
                <w:noProof/>
                <w:webHidden/>
              </w:rPr>
              <w:t>29</w:t>
            </w:r>
            <w:r w:rsidR="00B347C2">
              <w:rPr>
                <w:noProof/>
                <w:webHidden/>
              </w:rPr>
              <w:fldChar w:fldCharType="end"/>
            </w:r>
          </w:hyperlink>
        </w:p>
        <w:p w14:paraId="58B69F90"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106" w:history="1">
            <w:r w:rsidR="00B347C2" w:rsidRPr="00901E73">
              <w:rPr>
                <w:rStyle w:val="Collegamentoipertestuale"/>
                <w:noProof/>
              </w:rPr>
              <w:t>8.1</w:t>
            </w:r>
            <w:r w:rsidR="00B347C2">
              <w:rPr>
                <w:rFonts w:asciiTheme="minorHAnsi" w:eastAsiaTheme="minorEastAsia" w:hAnsiTheme="minorHAnsi"/>
                <w:noProof/>
                <w:lang w:eastAsia="it-IT"/>
              </w:rPr>
              <w:tab/>
            </w:r>
            <w:r w:rsidR="00B347C2" w:rsidRPr="00901E73">
              <w:rPr>
                <w:rStyle w:val="Collegamentoipertestuale"/>
                <w:noProof/>
              </w:rPr>
              <w:t>Transazione T1 – Produzione a contratto</w:t>
            </w:r>
            <w:r w:rsidR="00B347C2">
              <w:rPr>
                <w:noProof/>
                <w:webHidden/>
              </w:rPr>
              <w:tab/>
            </w:r>
            <w:r w:rsidR="00B347C2">
              <w:rPr>
                <w:noProof/>
                <w:webHidden/>
              </w:rPr>
              <w:fldChar w:fldCharType="begin"/>
            </w:r>
            <w:r w:rsidR="00B347C2">
              <w:rPr>
                <w:noProof/>
                <w:webHidden/>
              </w:rPr>
              <w:instrText xml:space="preserve"> PAGEREF _Toc25674106 \h </w:instrText>
            </w:r>
            <w:r w:rsidR="00B347C2">
              <w:rPr>
                <w:noProof/>
                <w:webHidden/>
              </w:rPr>
            </w:r>
            <w:r w:rsidR="00B347C2">
              <w:rPr>
                <w:noProof/>
                <w:webHidden/>
              </w:rPr>
              <w:fldChar w:fldCharType="separate"/>
            </w:r>
            <w:r w:rsidR="00B347C2">
              <w:rPr>
                <w:noProof/>
                <w:webHidden/>
              </w:rPr>
              <w:t>29</w:t>
            </w:r>
            <w:r w:rsidR="00B347C2">
              <w:rPr>
                <w:noProof/>
                <w:webHidden/>
              </w:rPr>
              <w:fldChar w:fldCharType="end"/>
            </w:r>
          </w:hyperlink>
        </w:p>
        <w:p w14:paraId="711444B5"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107" w:history="1">
            <w:r w:rsidR="00B347C2" w:rsidRPr="00901E73">
              <w:rPr>
                <w:rStyle w:val="Collegamentoipertestuale"/>
                <w:noProof/>
              </w:rPr>
              <w:t>8.2</w:t>
            </w:r>
            <w:r w:rsidR="00B347C2">
              <w:rPr>
                <w:rFonts w:asciiTheme="minorHAnsi" w:eastAsiaTheme="minorEastAsia" w:hAnsiTheme="minorHAnsi"/>
                <w:noProof/>
                <w:lang w:eastAsia="it-IT"/>
              </w:rPr>
              <w:tab/>
            </w:r>
            <w:r w:rsidR="00B347C2" w:rsidRPr="00901E73">
              <w:rPr>
                <w:rStyle w:val="Collegamentoipertestuale"/>
                <w:noProof/>
              </w:rPr>
              <w:t>Transazione T2 – Produzione e vendita diretta di componenti</w:t>
            </w:r>
            <w:r w:rsidR="00B347C2">
              <w:rPr>
                <w:noProof/>
                <w:webHidden/>
              </w:rPr>
              <w:tab/>
            </w:r>
            <w:r w:rsidR="00B347C2">
              <w:rPr>
                <w:noProof/>
                <w:webHidden/>
              </w:rPr>
              <w:fldChar w:fldCharType="begin"/>
            </w:r>
            <w:r w:rsidR="00B347C2">
              <w:rPr>
                <w:noProof/>
                <w:webHidden/>
              </w:rPr>
              <w:instrText xml:space="preserve"> PAGEREF _Toc25674107 \h </w:instrText>
            </w:r>
            <w:r w:rsidR="00B347C2">
              <w:rPr>
                <w:noProof/>
                <w:webHidden/>
              </w:rPr>
            </w:r>
            <w:r w:rsidR="00B347C2">
              <w:rPr>
                <w:noProof/>
                <w:webHidden/>
              </w:rPr>
              <w:fldChar w:fldCharType="separate"/>
            </w:r>
            <w:r w:rsidR="00B347C2">
              <w:rPr>
                <w:noProof/>
                <w:webHidden/>
              </w:rPr>
              <w:t>30</w:t>
            </w:r>
            <w:r w:rsidR="00B347C2">
              <w:rPr>
                <w:noProof/>
                <w:webHidden/>
              </w:rPr>
              <w:fldChar w:fldCharType="end"/>
            </w:r>
          </w:hyperlink>
        </w:p>
        <w:p w14:paraId="319CB516" w14:textId="77777777" w:rsidR="00B347C2" w:rsidRDefault="00A56D1A">
          <w:pPr>
            <w:pStyle w:val="Sommario2"/>
            <w:tabs>
              <w:tab w:val="left" w:pos="880"/>
              <w:tab w:val="right" w:leader="dot" w:pos="8948"/>
            </w:tabs>
            <w:rPr>
              <w:rFonts w:asciiTheme="minorHAnsi" w:eastAsiaTheme="minorEastAsia" w:hAnsiTheme="minorHAnsi"/>
              <w:noProof/>
              <w:lang w:eastAsia="it-IT"/>
            </w:rPr>
          </w:pPr>
          <w:hyperlink w:anchor="_Toc25674108" w:history="1">
            <w:r w:rsidR="00B347C2" w:rsidRPr="00901E73">
              <w:rPr>
                <w:rStyle w:val="Collegamentoipertestuale"/>
                <w:noProof/>
              </w:rPr>
              <w:t>8.3</w:t>
            </w:r>
            <w:r w:rsidR="00B347C2">
              <w:rPr>
                <w:rFonts w:asciiTheme="minorHAnsi" w:eastAsiaTheme="minorEastAsia" w:hAnsiTheme="minorHAnsi"/>
                <w:noProof/>
                <w:lang w:eastAsia="it-IT"/>
              </w:rPr>
              <w:tab/>
            </w:r>
            <w:r w:rsidR="00B347C2" w:rsidRPr="00901E73">
              <w:rPr>
                <w:rStyle w:val="Collegamentoipertestuale"/>
                <w:noProof/>
              </w:rPr>
              <w:t>Transazione T3 – Acquisto di componenti</w:t>
            </w:r>
            <w:r w:rsidR="00B347C2">
              <w:rPr>
                <w:noProof/>
                <w:webHidden/>
              </w:rPr>
              <w:tab/>
            </w:r>
            <w:r w:rsidR="00B347C2">
              <w:rPr>
                <w:noProof/>
                <w:webHidden/>
              </w:rPr>
              <w:fldChar w:fldCharType="begin"/>
            </w:r>
            <w:r w:rsidR="00B347C2">
              <w:rPr>
                <w:noProof/>
                <w:webHidden/>
              </w:rPr>
              <w:instrText xml:space="preserve"> PAGEREF _Toc25674108 \h </w:instrText>
            </w:r>
            <w:r w:rsidR="00B347C2">
              <w:rPr>
                <w:noProof/>
                <w:webHidden/>
              </w:rPr>
            </w:r>
            <w:r w:rsidR="00B347C2">
              <w:rPr>
                <w:noProof/>
                <w:webHidden/>
              </w:rPr>
              <w:fldChar w:fldCharType="separate"/>
            </w:r>
            <w:r w:rsidR="00B347C2">
              <w:rPr>
                <w:noProof/>
                <w:webHidden/>
              </w:rPr>
              <w:t>31</w:t>
            </w:r>
            <w:r w:rsidR="00B347C2">
              <w:rPr>
                <w:noProof/>
                <w:webHidden/>
              </w:rPr>
              <w:fldChar w:fldCharType="end"/>
            </w:r>
          </w:hyperlink>
        </w:p>
        <w:p w14:paraId="63DBE508" w14:textId="77777777" w:rsidR="00B347C2" w:rsidRDefault="00A56D1A">
          <w:pPr>
            <w:pStyle w:val="Sommario1"/>
            <w:tabs>
              <w:tab w:val="left" w:pos="440"/>
              <w:tab w:val="right" w:leader="dot" w:pos="8948"/>
            </w:tabs>
            <w:rPr>
              <w:rFonts w:asciiTheme="minorHAnsi" w:eastAsiaTheme="minorEastAsia" w:hAnsiTheme="minorHAnsi"/>
              <w:noProof/>
              <w:lang w:eastAsia="it-IT"/>
            </w:rPr>
          </w:pPr>
          <w:hyperlink w:anchor="_Toc25674109" w:history="1">
            <w:r w:rsidR="00B347C2" w:rsidRPr="00901E73">
              <w:rPr>
                <w:rStyle w:val="Collegamentoipertestuale"/>
                <w:noProof/>
              </w:rPr>
              <w:t>9.</w:t>
            </w:r>
            <w:r w:rsidR="00B347C2">
              <w:rPr>
                <w:rFonts w:asciiTheme="minorHAnsi" w:eastAsiaTheme="minorEastAsia" w:hAnsiTheme="minorHAnsi"/>
                <w:noProof/>
                <w:lang w:eastAsia="it-IT"/>
              </w:rPr>
              <w:tab/>
            </w:r>
            <w:r w:rsidR="00B347C2" w:rsidRPr="00901E73">
              <w:rPr>
                <w:rStyle w:val="Collegamentoipertestuale"/>
                <w:noProof/>
              </w:rPr>
              <w:t>Rapporti con le amministrazioni fiscali dei Paesi membri dell’Unione Europea concernenti “</w:t>
            </w:r>
            <w:r w:rsidR="00B347C2" w:rsidRPr="00901E73">
              <w:rPr>
                <w:rStyle w:val="Collegamentoipertestuale"/>
                <w:i/>
                <w:noProof/>
              </w:rPr>
              <w:t>Advance Price Arrangements</w:t>
            </w:r>
            <w:r w:rsidR="00B347C2" w:rsidRPr="00901E73">
              <w:rPr>
                <w:rStyle w:val="Collegamentoipertestuale"/>
                <w:noProof/>
              </w:rPr>
              <w:t xml:space="preserve">” (APA) e </w:t>
            </w:r>
            <w:r w:rsidR="00B347C2" w:rsidRPr="00901E73">
              <w:rPr>
                <w:rStyle w:val="Collegamentoipertestuale"/>
                <w:i/>
                <w:noProof/>
              </w:rPr>
              <w:t>ruling</w:t>
            </w:r>
            <w:r w:rsidR="00B347C2" w:rsidRPr="00901E73">
              <w:rPr>
                <w:rStyle w:val="Collegamentoipertestuale"/>
                <w:noProof/>
              </w:rPr>
              <w:t xml:space="preserve"> in materia di prezzi di trasferimento</w:t>
            </w:r>
            <w:r w:rsidR="00B347C2">
              <w:rPr>
                <w:noProof/>
                <w:webHidden/>
              </w:rPr>
              <w:tab/>
            </w:r>
            <w:r w:rsidR="00B347C2">
              <w:rPr>
                <w:noProof/>
                <w:webHidden/>
              </w:rPr>
              <w:fldChar w:fldCharType="begin"/>
            </w:r>
            <w:r w:rsidR="00B347C2">
              <w:rPr>
                <w:noProof/>
                <w:webHidden/>
              </w:rPr>
              <w:instrText xml:space="preserve"> PAGEREF _Toc25674109 \h </w:instrText>
            </w:r>
            <w:r w:rsidR="00B347C2">
              <w:rPr>
                <w:noProof/>
                <w:webHidden/>
              </w:rPr>
            </w:r>
            <w:r w:rsidR="00B347C2">
              <w:rPr>
                <w:noProof/>
                <w:webHidden/>
              </w:rPr>
              <w:fldChar w:fldCharType="separate"/>
            </w:r>
            <w:r w:rsidR="00B347C2">
              <w:rPr>
                <w:noProof/>
                <w:webHidden/>
              </w:rPr>
              <w:t>33</w:t>
            </w:r>
            <w:r w:rsidR="00B347C2">
              <w:rPr>
                <w:noProof/>
                <w:webHidden/>
              </w:rPr>
              <w:fldChar w:fldCharType="end"/>
            </w:r>
          </w:hyperlink>
        </w:p>
        <w:p w14:paraId="7EBC3647" w14:textId="77777777" w:rsidR="00997C93" w:rsidRDefault="00997C93">
          <w:r>
            <w:rPr>
              <w:b/>
              <w:bCs/>
            </w:rPr>
            <w:fldChar w:fldCharType="end"/>
          </w:r>
        </w:p>
      </w:sdtContent>
    </w:sdt>
    <w:p w14:paraId="36156236" w14:textId="77777777" w:rsidR="00997C93" w:rsidRDefault="00997C93" w:rsidP="00997C93">
      <w:pPr>
        <w:pStyle w:val="Titolo1"/>
      </w:pPr>
      <w:bookmarkStart w:id="0" w:name="_Toc532803002"/>
      <w:bookmarkStart w:id="1" w:name="_Toc25674079"/>
      <w:r>
        <w:lastRenderedPageBreak/>
        <w:t>Glossario</w:t>
      </w:r>
      <w:bookmarkEnd w:id="0"/>
      <w:bookmarkEnd w:id="1"/>
    </w:p>
    <w:p w14:paraId="6D656F35" w14:textId="77777777" w:rsidR="00997C93" w:rsidRPr="005B5877" w:rsidRDefault="00997C93" w:rsidP="00997C93"/>
    <w:tbl>
      <w:tblPr>
        <w:tblStyle w:val="Grigliatabella"/>
        <w:tblW w:w="0" w:type="auto"/>
        <w:tblLook w:val="04A0" w:firstRow="1" w:lastRow="0" w:firstColumn="1" w:lastColumn="0" w:noHBand="0" w:noVBand="1"/>
      </w:tblPr>
      <w:tblGrid>
        <w:gridCol w:w="2972"/>
        <w:gridCol w:w="5976"/>
      </w:tblGrid>
      <w:tr w:rsidR="00997C93" w14:paraId="602C2050" w14:textId="77777777" w:rsidTr="00ED3E3F">
        <w:tc>
          <w:tcPr>
            <w:tcW w:w="2972" w:type="dxa"/>
            <w:shd w:val="clear" w:color="auto" w:fill="00338D"/>
          </w:tcPr>
          <w:p w14:paraId="676829EE" w14:textId="77777777" w:rsidR="00997C93" w:rsidRPr="005B5877" w:rsidRDefault="00997C93" w:rsidP="00ED3E3F">
            <w:pPr>
              <w:pStyle w:val="Nessunaspaziatura"/>
              <w:rPr>
                <w:b/>
                <w:color w:val="FFFFFF" w:themeColor="background1"/>
              </w:rPr>
            </w:pPr>
            <w:r w:rsidRPr="005B5877">
              <w:rPr>
                <w:b/>
                <w:color w:val="FFFFFF" w:themeColor="background1"/>
              </w:rPr>
              <w:t>Abbreviazione</w:t>
            </w:r>
          </w:p>
        </w:tc>
        <w:tc>
          <w:tcPr>
            <w:tcW w:w="5976" w:type="dxa"/>
            <w:shd w:val="clear" w:color="auto" w:fill="00338D"/>
          </w:tcPr>
          <w:p w14:paraId="221D7C09" w14:textId="77777777" w:rsidR="00997C93" w:rsidRPr="005B5877" w:rsidRDefault="00997C93" w:rsidP="00ED3E3F">
            <w:pPr>
              <w:pStyle w:val="Nessunaspaziatura"/>
              <w:rPr>
                <w:color w:val="FFFFFF" w:themeColor="background1"/>
              </w:rPr>
            </w:pPr>
          </w:p>
        </w:tc>
      </w:tr>
      <w:tr w:rsidR="00997C93" w14:paraId="50E793CF" w14:textId="77777777" w:rsidTr="00ED3E3F">
        <w:tc>
          <w:tcPr>
            <w:tcW w:w="2972" w:type="dxa"/>
          </w:tcPr>
          <w:p w14:paraId="17E07C00" w14:textId="77777777" w:rsidR="00997C93" w:rsidRDefault="00997C93" w:rsidP="00ED3E3F">
            <w:pPr>
              <w:pStyle w:val="Nessunaspaziatura"/>
            </w:pPr>
            <w:r>
              <w:t>Il Gruppo</w:t>
            </w:r>
          </w:p>
        </w:tc>
        <w:tc>
          <w:tcPr>
            <w:tcW w:w="5976" w:type="dxa"/>
          </w:tcPr>
          <w:p w14:paraId="1A01C4CC" w14:textId="77777777" w:rsidR="00997C93" w:rsidRDefault="00997C93" w:rsidP="00ED3E3F">
            <w:pPr>
              <w:pStyle w:val="Nessunaspaziatura"/>
            </w:pPr>
            <w:r>
              <w:t>Gruppo Vimercati</w:t>
            </w:r>
          </w:p>
        </w:tc>
      </w:tr>
      <w:tr w:rsidR="00997C93" w14:paraId="02A77281" w14:textId="77777777" w:rsidTr="00ED3E3F">
        <w:tc>
          <w:tcPr>
            <w:tcW w:w="2972" w:type="dxa"/>
          </w:tcPr>
          <w:p w14:paraId="5F1E53E6" w14:textId="77777777" w:rsidR="00997C93" w:rsidRDefault="00997C93" w:rsidP="00ED3E3F">
            <w:pPr>
              <w:pStyle w:val="Nessunaspaziatura"/>
            </w:pPr>
            <w:r>
              <w:t>Vimercati, VIM, la Società</w:t>
            </w:r>
          </w:p>
        </w:tc>
        <w:tc>
          <w:tcPr>
            <w:tcW w:w="5976" w:type="dxa"/>
          </w:tcPr>
          <w:p w14:paraId="29858762" w14:textId="77777777" w:rsidR="00997C93" w:rsidRDefault="00997C93" w:rsidP="00ED3E3F">
            <w:pPr>
              <w:pStyle w:val="Nessunaspaziatura"/>
            </w:pPr>
            <w:r>
              <w:t>Vimercati S.p.A.</w:t>
            </w:r>
          </w:p>
        </w:tc>
      </w:tr>
      <w:tr w:rsidR="00997C93" w14:paraId="1E849509" w14:textId="77777777" w:rsidTr="00ED3E3F">
        <w:tc>
          <w:tcPr>
            <w:tcW w:w="2972" w:type="dxa"/>
          </w:tcPr>
          <w:p w14:paraId="6CE05F4E" w14:textId="77777777" w:rsidR="00997C93" w:rsidRDefault="00997C93" w:rsidP="00ED3E3F">
            <w:pPr>
              <w:pStyle w:val="Nessunaspaziatura"/>
            </w:pPr>
            <w:r>
              <w:t>VEE</w:t>
            </w:r>
          </w:p>
        </w:tc>
        <w:tc>
          <w:tcPr>
            <w:tcW w:w="5976" w:type="dxa"/>
          </w:tcPr>
          <w:p w14:paraId="76B52620" w14:textId="77777777" w:rsidR="00997C93" w:rsidRDefault="00997C93" w:rsidP="00ED3E3F">
            <w:pPr>
              <w:pStyle w:val="Nessunaspaziatura"/>
            </w:pPr>
            <w:r>
              <w:t>Vimercati East Europe S.r.l.</w:t>
            </w:r>
          </w:p>
        </w:tc>
      </w:tr>
      <w:tr w:rsidR="00997C93" w14:paraId="5BE039A7" w14:textId="77777777" w:rsidTr="00ED3E3F">
        <w:tc>
          <w:tcPr>
            <w:tcW w:w="2972" w:type="dxa"/>
          </w:tcPr>
          <w:p w14:paraId="5F56340A" w14:textId="77777777" w:rsidR="00997C93" w:rsidRPr="00A23B1B" w:rsidRDefault="00997C93" w:rsidP="00ED3E3F">
            <w:pPr>
              <w:pStyle w:val="Nessunaspaziatura"/>
            </w:pPr>
            <w:proofErr w:type="spellStart"/>
            <w:r w:rsidRPr="00A23B1B">
              <w:t>Viney</w:t>
            </w:r>
            <w:proofErr w:type="spellEnd"/>
          </w:p>
        </w:tc>
        <w:tc>
          <w:tcPr>
            <w:tcW w:w="5976" w:type="dxa"/>
          </w:tcPr>
          <w:p w14:paraId="09173F33" w14:textId="2C1075BA" w:rsidR="00997C93" w:rsidRPr="00A23B1B" w:rsidRDefault="00997C93" w:rsidP="00217198">
            <w:pPr>
              <w:pStyle w:val="Nessunaspaziatura"/>
            </w:pPr>
            <w:proofErr w:type="spellStart"/>
            <w:r w:rsidRPr="00A23B1B">
              <w:t>Viney</w:t>
            </w:r>
            <w:proofErr w:type="spellEnd"/>
            <w:r w:rsidRPr="00A23B1B">
              <w:t xml:space="preserve"> Corporation Ltd</w:t>
            </w:r>
          </w:p>
        </w:tc>
      </w:tr>
      <w:tr w:rsidR="00997C93" w:rsidRPr="00BF16E4" w14:paraId="421C86F8" w14:textId="77777777" w:rsidTr="00ED3E3F">
        <w:tc>
          <w:tcPr>
            <w:tcW w:w="2972" w:type="dxa"/>
          </w:tcPr>
          <w:p w14:paraId="4410A95D" w14:textId="0503CA15" w:rsidR="00997C93" w:rsidRPr="00A23B1B" w:rsidRDefault="00574863" w:rsidP="00ED3E3F">
            <w:pPr>
              <w:pStyle w:val="Nessunaspaziatura"/>
            </w:pPr>
            <w:proofErr w:type="spellStart"/>
            <w:r w:rsidRPr="00A23B1B">
              <w:t>Viney</w:t>
            </w:r>
            <w:proofErr w:type="spellEnd"/>
            <w:r w:rsidRPr="00A23B1B">
              <w:t xml:space="preserve"> Romania</w:t>
            </w:r>
          </w:p>
        </w:tc>
        <w:tc>
          <w:tcPr>
            <w:tcW w:w="5976" w:type="dxa"/>
          </w:tcPr>
          <w:p w14:paraId="4E3E2BA0" w14:textId="0E8118EB" w:rsidR="00997C93" w:rsidRPr="00A23B1B" w:rsidRDefault="00574863" w:rsidP="00ED3E3F">
            <w:pPr>
              <w:pStyle w:val="Nessunaspaziatura"/>
              <w:rPr>
                <w:lang w:val="en-US"/>
              </w:rPr>
            </w:pPr>
            <w:proofErr w:type="spellStart"/>
            <w:r w:rsidRPr="00A23B1B">
              <w:rPr>
                <w:lang w:val="en-US"/>
              </w:rPr>
              <w:t>Viney</w:t>
            </w:r>
            <w:proofErr w:type="spellEnd"/>
            <w:r w:rsidR="00217198">
              <w:rPr>
                <w:lang w:val="en-US"/>
              </w:rPr>
              <w:t xml:space="preserve"> Corporation</w:t>
            </w:r>
            <w:r w:rsidRPr="00A23B1B">
              <w:rPr>
                <w:lang w:val="en-US"/>
              </w:rPr>
              <w:t xml:space="preserve"> East Europe</w:t>
            </w:r>
            <w:r w:rsidR="00A23B1B" w:rsidRPr="00A23B1B">
              <w:rPr>
                <w:lang w:val="en-US"/>
              </w:rPr>
              <w:t xml:space="preserve"> S.r.l.</w:t>
            </w:r>
          </w:p>
        </w:tc>
      </w:tr>
    </w:tbl>
    <w:p w14:paraId="77F02ADE" w14:textId="77777777" w:rsidR="00997C93" w:rsidRPr="00A23B1B" w:rsidRDefault="00997C93" w:rsidP="00997C93">
      <w:pPr>
        <w:rPr>
          <w:lang w:val="en-US"/>
        </w:rPr>
      </w:pPr>
    </w:p>
    <w:p w14:paraId="53A98FB1" w14:textId="77777777" w:rsidR="00997C93" w:rsidRPr="00A23B1B" w:rsidRDefault="00997C93" w:rsidP="00997C93">
      <w:pPr>
        <w:rPr>
          <w:lang w:val="en-US"/>
        </w:rPr>
      </w:pPr>
      <w:r w:rsidRPr="00A23B1B">
        <w:rPr>
          <w:lang w:val="en-US"/>
        </w:rPr>
        <w:br w:type="page"/>
      </w:r>
    </w:p>
    <w:p w14:paraId="2AFA5BAF" w14:textId="025FC310" w:rsidR="00997C93" w:rsidRDefault="00997C93" w:rsidP="00A23B1B">
      <w:pPr>
        <w:pStyle w:val="Titolo1"/>
        <w:numPr>
          <w:ilvl w:val="0"/>
          <w:numId w:val="1"/>
        </w:numPr>
        <w:spacing w:line="320" w:lineRule="exact"/>
        <w:ind w:left="714" w:hanging="357"/>
      </w:pPr>
      <w:bookmarkStart w:id="2" w:name="_Toc25674080"/>
      <w:r>
        <w:lastRenderedPageBreak/>
        <w:t>Descrizione generale del gruppo multinazionale</w:t>
      </w:r>
      <w:bookmarkEnd w:id="2"/>
      <w:r>
        <w:t xml:space="preserve"> </w:t>
      </w:r>
    </w:p>
    <w:p w14:paraId="3AF88FAD" w14:textId="44C58128" w:rsidR="00997C93" w:rsidRDefault="00997C93" w:rsidP="00997C93">
      <w:r>
        <w:t xml:space="preserve">A partire dal 2011 Vimercati si è tramutata in subholding italiana del gruppo indiano </w:t>
      </w:r>
      <w:proofErr w:type="spellStart"/>
      <w:r>
        <w:t>Viney</w:t>
      </w:r>
      <w:proofErr w:type="spellEnd"/>
      <w:r>
        <w:t xml:space="preserve">, a seguito dell’acquisto in data 8 novembre 2011 di 5.803.778 azioni ordinarie (che rappresentano il 70% del capitale sociale di Vimercati) da parte della società </w:t>
      </w:r>
      <w:proofErr w:type="spellStart"/>
      <w:r>
        <w:t>Viney</w:t>
      </w:r>
      <w:proofErr w:type="spellEnd"/>
      <w:r>
        <w:t xml:space="preserve"> Corporation Ltd di Delhi.</w:t>
      </w:r>
    </w:p>
    <w:p w14:paraId="6CACB26B" w14:textId="77777777" w:rsidR="00997C93" w:rsidRDefault="00997C93" w:rsidP="00997C93">
      <w:r>
        <w:t xml:space="preserve">Nel 2014, </w:t>
      </w:r>
      <w:proofErr w:type="spellStart"/>
      <w:r>
        <w:t>Viney</w:t>
      </w:r>
      <w:proofErr w:type="spellEnd"/>
      <w:r>
        <w:t xml:space="preserve"> ha acquistato il restante 30% del capitale sociale di Vimercati, divenendo l’Azionista Unico della stessa.</w:t>
      </w:r>
    </w:p>
    <w:p w14:paraId="38459328" w14:textId="77777777" w:rsidR="00997C93" w:rsidRDefault="00997C93" w:rsidP="00997C93">
      <w:proofErr w:type="spellStart"/>
      <w:r>
        <w:t>Viney</w:t>
      </w:r>
      <w:proofErr w:type="spellEnd"/>
      <w:r>
        <w:t xml:space="preserve"> è un gruppo emergente indiano in rapida crescita in un paese con prospettive durevoli di forte espansione. E’ stata fondata nel 1989 dalla famiglia </w:t>
      </w:r>
      <w:proofErr w:type="spellStart"/>
      <w:r>
        <w:t>Aggarwal</w:t>
      </w:r>
      <w:proofErr w:type="spellEnd"/>
      <w:r>
        <w:t xml:space="preserve">. I prodotti principali sono cablaggi, connettori, terminali, cavi ad alta prestazione e teflon, composti in gomma e altre applicazioni per il mercato </w:t>
      </w:r>
      <w:proofErr w:type="spellStart"/>
      <w:r>
        <w:t>motoveicolistico</w:t>
      </w:r>
      <w:proofErr w:type="spellEnd"/>
      <w:r>
        <w:t xml:space="preserve"> e, in parte, anche automobilistico.</w:t>
      </w:r>
    </w:p>
    <w:p w14:paraId="602B28BE" w14:textId="77777777" w:rsidR="00997C93" w:rsidRDefault="00997C93" w:rsidP="00997C93">
      <w:r>
        <w:t>È un fornitore di secondo livello, cioè indiretto, delle principali case presenti sul mercato indiano e ha iniziato ad esportare in Europa ed Asia.</w:t>
      </w:r>
    </w:p>
    <w:p w14:paraId="72C6D83D" w14:textId="6992BAB4" w:rsidR="00997C93" w:rsidRDefault="00997C93" w:rsidP="00997C93">
      <w:r>
        <w:t>L’intera produzione è verticalmente integrata (</w:t>
      </w:r>
      <w:r w:rsidR="00ED3E3F">
        <w:t xml:space="preserve">ossia </w:t>
      </w:r>
      <w:r w:rsidR="00994A90">
        <w:t xml:space="preserve">interamente svolta “in casa” </w:t>
      </w:r>
      <w:r>
        <w:t>senza ricorrere a terzisti) e si avvale di una struttura organizzativa particolarmente snella e a basso costo.</w:t>
      </w:r>
    </w:p>
    <w:p w14:paraId="5162867C" w14:textId="1AD4BFF5" w:rsidR="00997C93" w:rsidRDefault="00997C93" w:rsidP="00997C93">
      <w:r>
        <w:t xml:space="preserve">Le </w:t>
      </w:r>
      <w:proofErr w:type="spellStart"/>
      <w:r w:rsidRPr="00216A19">
        <w:rPr>
          <w:i/>
        </w:rPr>
        <w:t>capabilities</w:t>
      </w:r>
      <w:proofErr w:type="spellEnd"/>
      <w:r>
        <w:t xml:space="preserve"> – cioè i fattori chiave che contraddistinguono la loro esperienza e le loro conoscenze tecniche ed organizzative – sono prevalentemente concentrate nella realizzazione di stampi e nella fabbricazione di componentistica in plastica, terminali e cablaggi avvalendosi di attrezzerie avanzate e di reparti di stampaggio dotati di impianti di ultima generazione in massima parte importati. Qualità, servizio, flessibilità, manodopera specializzata rispettano i requisiti più stringenti del mercato dell’auto.</w:t>
      </w:r>
    </w:p>
    <w:p w14:paraId="4BCE134B" w14:textId="600372FE" w:rsidR="00997C93" w:rsidRDefault="00994A90" w:rsidP="00997C93">
      <w:r>
        <w:t xml:space="preserve">Il Gruppo </w:t>
      </w:r>
      <w:r w:rsidR="00997C93">
        <w:t xml:space="preserve">Vimercati è un sottogruppo del Gruppo </w:t>
      </w:r>
      <w:proofErr w:type="spellStart"/>
      <w:r w:rsidR="00997C93">
        <w:t>Viney</w:t>
      </w:r>
      <w:proofErr w:type="spellEnd"/>
      <w:r w:rsidR="00997C93">
        <w:t xml:space="preserve"> interamente dedicato alla progettazione, industrializzazione e produzione di componenti elettromeccanici ed elettronici di interruttori, moduli, complessivi meccatronici e dispositivi integrati per il mercato dell’auto.</w:t>
      </w:r>
    </w:p>
    <w:p w14:paraId="3BC712B1" w14:textId="77777777" w:rsidR="00997C93" w:rsidRDefault="00997C93" w:rsidP="00997C93">
      <w:r>
        <w:t xml:space="preserve">E’ un produttore leader di componentistica per auto, altamente specializzato, tecnologicamente avanzato ed estremamente flessibile, esperto da lungo tempo del settore </w:t>
      </w:r>
      <w:proofErr w:type="spellStart"/>
      <w:r w:rsidRPr="00994A90">
        <w:rPr>
          <w:i/>
        </w:rPr>
        <w:t>automotive</w:t>
      </w:r>
      <w:proofErr w:type="spellEnd"/>
      <w:r>
        <w:t xml:space="preserve"> per il quale lavora da sessant’anni.</w:t>
      </w:r>
    </w:p>
    <w:p w14:paraId="5F24E019" w14:textId="77777777" w:rsidR="00997C93" w:rsidRDefault="00997C93" w:rsidP="00997C93">
      <w:r>
        <w:t>L’eccellenza nella qualità, nell’affidabilità e nel servizio offerto alla clientela è alla base della reputazione del Gruppo che può contare su rapporti consolidati di lungo termine di collaborazione con primarie case automobilistiche.</w:t>
      </w:r>
    </w:p>
    <w:p w14:paraId="36827906" w14:textId="188EB05A" w:rsidR="00357220" w:rsidRDefault="00997C93" w:rsidP="00997C93">
      <w:r>
        <w:t xml:space="preserve">I componenti prodotti sono destinati al primo equipaggiamento e vengono forniti direttamente ai clienti finali tra i quali possono essere annoverati </w:t>
      </w:r>
      <w:proofErr w:type="spellStart"/>
      <w:r>
        <w:t>Bmw</w:t>
      </w:r>
      <w:proofErr w:type="spellEnd"/>
      <w:r>
        <w:t xml:space="preserve">, </w:t>
      </w:r>
      <w:proofErr w:type="spellStart"/>
      <w:r>
        <w:t>Rolls</w:t>
      </w:r>
      <w:proofErr w:type="spellEnd"/>
      <w:r>
        <w:t xml:space="preserve"> </w:t>
      </w:r>
      <w:proofErr w:type="spellStart"/>
      <w:r>
        <w:t>Royce</w:t>
      </w:r>
      <w:proofErr w:type="spellEnd"/>
      <w:r>
        <w:t xml:space="preserve">, Volkswagen, </w:t>
      </w:r>
      <w:proofErr w:type="spellStart"/>
      <w:r>
        <w:t>Psa</w:t>
      </w:r>
      <w:proofErr w:type="spellEnd"/>
      <w:r>
        <w:t xml:space="preserve"> (Peugeot/Citroen), Renault, Fiat, Alfa Romeo, Iveco, Pininfarina e Ferrari.</w:t>
      </w:r>
      <w:r w:rsidR="00357220">
        <w:t xml:space="preserve"> </w:t>
      </w:r>
    </w:p>
    <w:p w14:paraId="7171E2AF" w14:textId="49B166FF" w:rsidR="00997C93" w:rsidRDefault="00997C93" w:rsidP="00997C93">
      <w:r>
        <w:t>L’azienda nasce nell’immediato dopoguerra (nel 1948) per iniziativa dei fratelli Vimercati.</w:t>
      </w:r>
      <w:r w:rsidR="00357220">
        <w:t xml:space="preserve"> </w:t>
      </w:r>
      <w:r>
        <w:t>Negli anni ‘50 l’attività prevalente è rappresentata dalla fabbricazione su specifica commessa del cliente di particolari torniti meccanici di precisione ad uso civile o destinati al mercato elettrodomestico.</w:t>
      </w:r>
    </w:p>
    <w:p w14:paraId="391244B7" w14:textId="77777777" w:rsidR="00997C93" w:rsidRDefault="00997C93" w:rsidP="00997C93">
      <w:r>
        <w:t>Dalla metà degli anni ’60 l’azienda introduce progressivamente l’utilizzo di soluzioni elettromeccaniche, sviluppando le prime applicazioni di interruttori e commutatori luci per il mercato moto-veicolistico.</w:t>
      </w:r>
    </w:p>
    <w:p w14:paraId="0CE3051D" w14:textId="77777777" w:rsidR="00997C93" w:rsidRDefault="00997C93" w:rsidP="00997C93">
      <w:r>
        <w:t xml:space="preserve">L’esperienza acquisita permette poi negli anni ’70 di estendere soluzioni simili anche al mercato Automotive rivolgendosi dapprima al mercato domestico e quindi, gradualmente, anche al mercato europeo, ad iniziare da quello francese fino a quello tedesco. L’impresa acquisisce nel tempo una </w:t>
      </w:r>
      <w:r>
        <w:lastRenderedPageBreak/>
        <w:t>posizione dominante, in particolare nella produzione di massa su grandi serie di portalampade da cruscotto di cui diventa leader di settore.</w:t>
      </w:r>
    </w:p>
    <w:p w14:paraId="7C47DAD6" w14:textId="77777777" w:rsidR="00997C93" w:rsidRDefault="00997C93" w:rsidP="00997C93">
      <w:r>
        <w:t>Gli sforzi organizzativi richiesti dal mercato dell’auto hanno portato l’azienda a focalizzarsi solo su quest’ultimo impegnativo mercato, abbandonando quello più tradizionale dell’elettrodomestico e proseguendo nella strada della diversificazione europea con l’acquisizione definitiva anche del mercato tedesco.</w:t>
      </w:r>
    </w:p>
    <w:p w14:paraId="6BA33183" w14:textId="77777777" w:rsidR="00997C93" w:rsidRDefault="00997C93" w:rsidP="00997C93">
      <w:r>
        <w:t>Crescendo l’azienda si dota di una struttura sempre più specializzata al fine di rispettare gli standard di qualità, tempi, servizio e costi, via via più rigorosi, imposti dalle case costruttrici finali.</w:t>
      </w:r>
    </w:p>
    <w:p w14:paraId="6EAF4C79" w14:textId="77777777" w:rsidR="00997C93" w:rsidRDefault="00997C93" w:rsidP="00997C93">
      <w:r>
        <w:t>In particolare, l’elemento di discontinuità rispetto al passato è stata la progressiva acquisizione di competenze tecniche autonome nelle attività di sviluppo del prodotto.</w:t>
      </w:r>
    </w:p>
    <w:p w14:paraId="5615AEB9" w14:textId="77777777" w:rsidR="00997C93" w:rsidRDefault="00997C93" w:rsidP="00997C93">
      <w:r>
        <w:t>Nel sostenere il suo sviluppo Vimercati segue tre direttrici principali rappresentate dalla concentrazione delle risorse in investimenti ad alta intensità di capitale, principalmente linee automatiche di assemblaggio e controllo finale, dallo sviluppo di una rete esterna qualificata di fornitori specializzati nella realizzazione di parti in plastica e dal supporto alla crescita di subfornitori in grado di garantire flessibilità ed economicità delle lavorazioni affidate in conto terzi.</w:t>
      </w:r>
    </w:p>
    <w:p w14:paraId="18DCD749" w14:textId="77777777" w:rsidR="00997C93" w:rsidRDefault="00997C93" w:rsidP="00997C93">
      <w:r>
        <w:t>Concentrare le risorse su tecnologie di processo avanzate ha permesso di ottenere un’elevata efficienza produttiva ed elevati standard qualitativi, fondamentali per l’ottenimento di un vantaggio competitivo. Il reinvestimento sistematico delle risorse generate è anche fonte di una continua crescita di conoscenza che consente la messa in atto di attività tipiche di innovazione incrementale sia di prodotto che di processo.</w:t>
      </w:r>
    </w:p>
    <w:p w14:paraId="6B3BCA75" w14:textId="77777777" w:rsidR="00997C93" w:rsidRDefault="00997C93" w:rsidP="00997C93">
      <w:r>
        <w:t xml:space="preserve">Nello stesso tempo l’azienda ha saputo distinguersi per l’elevata flessibilità produttiva, che non significa solo capacità di modificare i programmi di produzione per volumi e mix adattandoli in tempo </w:t>
      </w:r>
      <w:proofErr w:type="gramStart"/>
      <w:r>
        <w:t>reale</w:t>
      </w:r>
      <w:proofErr w:type="gramEnd"/>
      <w:r>
        <w:t xml:space="preserve"> alle varianti, anche improvvise, richieste dai clienti, ma è una vera e propria abilità che si esprime nell’adattarsi rapidamente a tutte le esigenze del cliente, a cominciare dalle varianti richieste nelle fasi iniziali di sviluppo del prodotto e nei rispettivi tempi di realizzazione.</w:t>
      </w:r>
    </w:p>
    <w:p w14:paraId="6FD2DA85" w14:textId="77777777" w:rsidR="00997C93" w:rsidRDefault="00997C93" w:rsidP="00997C93">
      <w:r>
        <w:t xml:space="preserve">L’evoluzione più recente è strettamente conseguente alle mutevoli caratteristiche del mercato dell’auto soggetto ad una continua evoluzione che ha comportato una forte accelerazione di tutti i fattori competitivi; ne sono tipici esempi il </w:t>
      </w:r>
      <w:r w:rsidRPr="00392221">
        <w:rPr>
          <w:i/>
        </w:rPr>
        <w:t>just in time</w:t>
      </w:r>
      <w:r>
        <w:t>, la riduzione dei tempi di sviluppo dei nuovi modelli, la diversificazione di gamma, l’accorciamento della vita media delle vetture, la globalizzazione delle forniture, l’introduzione pervasiva dell’elettronica, l’attenzione crescente al comfort, al design e alla sicurezza.</w:t>
      </w:r>
    </w:p>
    <w:p w14:paraId="07160F70" w14:textId="77777777" w:rsidR="00997C93" w:rsidRDefault="00997C93" w:rsidP="00997C93">
      <w:r>
        <w:t xml:space="preserve">A fronte di queste sollecitazioni il Gruppo Vimercati ha adeguato il proprio servizio potenziando i profili professionali e dotandosi dei mezzi e degli strumenti, come il sistema di project management o l’approccio al </w:t>
      </w:r>
      <w:r w:rsidRPr="00392221">
        <w:rPr>
          <w:i/>
        </w:rPr>
        <w:t xml:space="preserve">design to </w:t>
      </w:r>
      <w:proofErr w:type="spellStart"/>
      <w:r w:rsidRPr="00392221">
        <w:rPr>
          <w:i/>
        </w:rPr>
        <w:t>cost</w:t>
      </w:r>
      <w:proofErr w:type="spellEnd"/>
      <w:r>
        <w:t>, necessari ad assicurare la flessibilità e la reattività che da sempre costituiscono elementi distintivi dell’azienda.</w:t>
      </w:r>
    </w:p>
    <w:p w14:paraId="745AFD8C" w14:textId="77777777" w:rsidR="00997C93" w:rsidRDefault="00997C93" w:rsidP="00997C93">
      <w:r>
        <w:t xml:space="preserve">Nel contempo la gamma prodotti si è ampliata affiancando ai grandi volumi anche le serie di medie e basse dimensioni caratterizzate da una forte componente di specializzazione tenendo conto che il prodotto nasce e viene realizzato come un tipico prodotto “su misura”, interamente </w:t>
      </w:r>
      <w:proofErr w:type="spellStart"/>
      <w:r>
        <w:t>customizzato</w:t>
      </w:r>
      <w:proofErr w:type="spellEnd"/>
      <w:r>
        <w:t>.</w:t>
      </w:r>
    </w:p>
    <w:p w14:paraId="61BDD719" w14:textId="77777777" w:rsidR="00997C93" w:rsidRPr="00783B2E" w:rsidRDefault="00997C93" w:rsidP="00997C93">
      <w:r>
        <w:t xml:space="preserve">Attualmente la gamma di prodotti comprende: moduli e interruttori ergonomici, </w:t>
      </w:r>
      <w:proofErr w:type="spellStart"/>
      <w:r>
        <w:t>contattiere</w:t>
      </w:r>
      <w:proofErr w:type="spellEnd"/>
      <w:r>
        <w:t xml:space="preserve"> per porte scorrevoli, interruttori nascosti, sensori, comandi e interruttori a volante, prese multimediali, </w:t>
      </w:r>
      <w:r w:rsidRPr="00783B2E">
        <w:t xml:space="preserve">portalampade e </w:t>
      </w:r>
      <w:proofErr w:type="spellStart"/>
      <w:r w:rsidRPr="00783B2E">
        <w:t>portaled</w:t>
      </w:r>
      <w:proofErr w:type="spellEnd"/>
      <w:r w:rsidRPr="00783B2E">
        <w:t>.</w:t>
      </w:r>
    </w:p>
    <w:p w14:paraId="4AF1C202" w14:textId="77777777" w:rsidR="00997C93" w:rsidRPr="00783B2E" w:rsidRDefault="00997C93" w:rsidP="00997C93">
      <w:r w:rsidRPr="00783B2E">
        <w:lastRenderedPageBreak/>
        <w:t>Più in generale le dinamiche evolutive del mercato dell’auto hanno subito negli anni delle profonde trasformazioni che hanno condotto ad un aumento crescente e sistematico dei fattori di competitività con conseguenti e forti impatti su tutta la filiera dei produttori di componentistica.</w:t>
      </w:r>
    </w:p>
    <w:p w14:paraId="37AC9E18" w14:textId="77777777" w:rsidR="00997C93" w:rsidRPr="00783B2E" w:rsidRDefault="00997C93" w:rsidP="00997C93">
      <w:r w:rsidRPr="00783B2E">
        <w:t>Alla fine degli anni ’80 si è messo in moto un profondo processo di concentrazione del parco fornitori dovuto alla ricerca delle case automobilistiche di snellire sempre più le loro strutture di acquisto e di continuare a esercitare una intensa pressione sui fornitori finalizzata ad una riduzione programmata dei costi. E’ una leva che ha portato ad una sensibile riduzione del numero medio di fornitori rispetto allo scenario precedente in cui la loro presenza era molto più diffusa e capillare.</w:t>
      </w:r>
    </w:p>
    <w:p w14:paraId="7439D09D" w14:textId="77777777" w:rsidR="00997C93" w:rsidRPr="00783B2E" w:rsidRDefault="00997C93" w:rsidP="00997C93">
      <w:r w:rsidRPr="00783B2E">
        <w:t>L’organizzazione snella si è basata largamente sull’obiettivo di non ottimizzare solamente la produzione ma anche di ampliare il grado di personalizzazione del prodotto automobilistico e di accelerare il ritmo dell’innovazione attraverso una riduzione dei cicli di vita dei prodotti e del time to market, cioè del periodo che intercorre tra il lancio del progetto di un nuovo modello e l’avviamento della produzione di serie.</w:t>
      </w:r>
    </w:p>
    <w:p w14:paraId="69050554" w14:textId="77777777" w:rsidR="00997C93" w:rsidRPr="00783B2E" w:rsidRDefault="00997C93" w:rsidP="00997C93">
      <w:r w:rsidRPr="00783B2E">
        <w:t xml:space="preserve">Altro fenomeno che ha interessato l’intero comparto dell’auto a livello internazionale è quello del processo di “globalizzazione” nelle sue diverse declinazioni. Innanzitutto, globalizzazione geografica che ha comportato l’estensione della presenza delle case automobilistiche e di molti dei loro fornitori più importanti in tutti i mercati principali. Ma anche nel senso di quella che viene definita la politica di “global </w:t>
      </w:r>
      <w:proofErr w:type="spellStart"/>
      <w:r w:rsidRPr="00783B2E">
        <w:t>sourcing</w:t>
      </w:r>
      <w:proofErr w:type="spellEnd"/>
      <w:r w:rsidRPr="00783B2E">
        <w:t>” cioè la realizzazione di un sistema di fornitura globale nel quale sia possibile per il costruttore operare una selezione tra fonti alternative di approvvigionamento, mettendo a confronto le offerte dei fornitori su scala mondiale.</w:t>
      </w:r>
    </w:p>
    <w:p w14:paraId="00AA4FBF" w14:textId="77777777" w:rsidR="00997C93" w:rsidRDefault="00997C93" w:rsidP="00997C93">
      <w:r w:rsidRPr="00783B2E">
        <w:t>E’ poi tendenza ormai consolidata, anch’essa sempre ispirata all’obiettivo prioritario di ottenere nuove efficienze di costo, la progressiva migrazione di parti, anche consistenti, dei processi produttivi in paesi a basso costo, i cosiddetti LCC (</w:t>
      </w:r>
      <w:proofErr w:type="spellStart"/>
      <w:r w:rsidRPr="00783B2E">
        <w:t>low</w:t>
      </w:r>
      <w:proofErr w:type="spellEnd"/>
      <w:r w:rsidRPr="00783B2E">
        <w:t xml:space="preserve"> </w:t>
      </w:r>
      <w:proofErr w:type="spellStart"/>
      <w:r w:rsidRPr="00783B2E">
        <w:t>cost</w:t>
      </w:r>
      <w:proofErr w:type="spellEnd"/>
      <w:r w:rsidRPr="00783B2E">
        <w:t xml:space="preserve"> </w:t>
      </w:r>
      <w:proofErr w:type="spellStart"/>
      <w:r w:rsidRPr="00783B2E">
        <w:t>countries</w:t>
      </w:r>
      <w:proofErr w:type="spellEnd"/>
      <w:r w:rsidRPr="00783B2E">
        <w:t>), delocalizzando in aree geografiche caratterizzate dalla presenza di differenziali significativi in termini di condizioni più vantaggiose del costo della manodopera.</w:t>
      </w:r>
    </w:p>
    <w:p w14:paraId="20C1F8E7" w14:textId="73C38063" w:rsidR="00997C93" w:rsidRDefault="000C0A5B" w:rsidP="00997C93">
      <w:r>
        <w:t>I</w:t>
      </w:r>
      <w:r w:rsidR="00997C93">
        <w:t xml:space="preserve">n risposta </w:t>
      </w:r>
      <w:r>
        <w:t>al mutamento del mercato e</w:t>
      </w:r>
      <w:r w:rsidR="00997C93">
        <w:t xml:space="preserve"> coerentemente con gli obiettivi aziendali</w:t>
      </w:r>
      <w:r>
        <w:t>,</w:t>
      </w:r>
      <w:r w:rsidR="00654872">
        <w:t xml:space="preserve"> </w:t>
      </w:r>
      <w:r w:rsidR="00997C93">
        <w:t xml:space="preserve">nel dicembre 2007, è </w:t>
      </w:r>
      <w:r>
        <w:t>stata costituita</w:t>
      </w:r>
      <w:r w:rsidR="00997C93">
        <w:t xml:space="preserve"> la controllata SC Vimercati East Europe </w:t>
      </w:r>
      <w:proofErr w:type="spellStart"/>
      <w:r w:rsidR="00997C93">
        <w:t>Srl</w:t>
      </w:r>
      <w:proofErr w:type="spellEnd"/>
      <w:r w:rsidR="00997C93">
        <w:t>, con sede a Bacau, in Romania, che ha permesso di ridurre in maniera rilevante l’incidenza del costo delle lavorazioni sul costo totale dei prodotti.</w:t>
      </w:r>
    </w:p>
    <w:p w14:paraId="4C767755" w14:textId="77777777" w:rsidR="00997C93" w:rsidRPr="00217198" w:rsidRDefault="00997C93" w:rsidP="00997C93">
      <w:r w:rsidRPr="00217198">
        <w:t>Significativo, a riguardo, è l’ampliamento dell’organico produttivo della controllata Vimercati East Europe che dal 2014 può contare su circa 300 unità.</w:t>
      </w:r>
    </w:p>
    <w:p w14:paraId="77CCCCCF" w14:textId="77777777" w:rsidR="00997C93" w:rsidRDefault="00997C93" w:rsidP="00997C93">
      <w:r w:rsidRPr="00217198">
        <w:t xml:space="preserve">La tendenza sarà proprio quella di localizzare gradualmente nella unità produttiva romena il maggior numero di processi di lavorazione ad elevato contenuto di manodopera diretta per poter mantenere alti standard qualitativi e al contempo competitività a livello di prezzi di sbocco in un mercato, quale quello dell’auto, sempre più rivolto ai crescenti fornitori provenienti da Cina, Vietnam, Malesia e paesi del far </w:t>
      </w:r>
      <w:proofErr w:type="spellStart"/>
      <w:r w:rsidRPr="00217198">
        <w:t>east</w:t>
      </w:r>
      <w:proofErr w:type="spellEnd"/>
      <w:r w:rsidRPr="00217198">
        <w:t>. Oltre ad un maggior numero di processi, la delocalizzazione tenderà ad interessare anche un sempre maggior numero di prodotti.</w:t>
      </w:r>
    </w:p>
    <w:p w14:paraId="06DA09F4" w14:textId="77777777" w:rsidR="00997C93" w:rsidRDefault="00997C93" w:rsidP="00997C93">
      <w:r>
        <w:t>Il Gruppo Vimercati ha oggi un solo mercato di riferimento, quello automobilistico sia italiano che estero, nello specifico europeo, con destinazione primaria Francia e Germania.</w:t>
      </w:r>
    </w:p>
    <w:p w14:paraId="75BC86B7" w14:textId="77777777" w:rsidR="00997C93" w:rsidRDefault="00997C93" w:rsidP="00997C93">
      <w:r>
        <w:t xml:space="preserve">In particolare va evidenziato come, storicamente, l’azienda è in prevalenza un produttore di componentistica per auto di primo livello (I° </w:t>
      </w:r>
      <w:proofErr w:type="spellStart"/>
      <w:r>
        <w:t>tier</w:t>
      </w:r>
      <w:proofErr w:type="spellEnd"/>
      <w:r>
        <w:t>), differenziandosi dai fornitori di secondo livello.</w:t>
      </w:r>
    </w:p>
    <w:p w14:paraId="5C8919B5" w14:textId="77777777" w:rsidR="00997C93" w:rsidRDefault="00997C93" w:rsidP="00997C93">
      <w:r>
        <w:lastRenderedPageBreak/>
        <w:t>Essere fornitori di primo livello significa mantenere un rapporto diretto con la casa automobilistica con la quale si lavora in “co-design”, per cui le attività di sviluppo del prodotto vengono realizzate in stretta condivisione con il cliente, e significa fornire direttamente in just in time gli stabilimenti produttivi del cliente.</w:t>
      </w:r>
    </w:p>
    <w:p w14:paraId="12AC1F15" w14:textId="77777777" w:rsidR="00997C93" w:rsidRDefault="00997C93" w:rsidP="00997C93">
      <w:r>
        <w:t>Diversamente, essere fornitori di secondo livello significa intrattenere rapporti di lavoro con un altro fornitore il quale è a sua volta la controparte diretta del cliente finale.</w:t>
      </w:r>
    </w:p>
    <w:p w14:paraId="70311270" w14:textId="77777777" w:rsidR="00997C93" w:rsidRDefault="00997C93" w:rsidP="00997C93">
      <w:r>
        <w:t>Il contatto diretto con il costruttore (in particolare il rapporto con i buyer, gli ingegneri e i tecnici) è un aspetto di primaria importanza per garantire che la relazione con il cliente possa continuare ad avere un carattere di lunga durata consentendo l’accesso fin dal momento iniziale del cosiddetto “</w:t>
      </w:r>
      <w:proofErr w:type="spellStart"/>
      <w:r>
        <w:t>concept</w:t>
      </w:r>
      <w:proofErr w:type="spellEnd"/>
      <w:r>
        <w:t>” alle informazioni relative ai piani pluriennali di sviluppo dei nuovi modelli di autovetture.</w:t>
      </w:r>
    </w:p>
    <w:p w14:paraId="259D3A2A" w14:textId="77777777" w:rsidR="00997C93" w:rsidRDefault="00997C93" w:rsidP="00997C93">
      <w:r>
        <w:t xml:space="preserve">Il complesso della filiera che converge nell’assemblaggio finale del veicolo consiste in una successione di fasi di lavorazione di elementi e del loro montaggio in parti più complesse. Durante questo passaggio variano sensibilmente sia le tecnologie di produzione sia le complessità tecniche ed organizzative. </w:t>
      </w:r>
    </w:p>
    <w:p w14:paraId="1BCD3141" w14:textId="77777777" w:rsidR="00997C93" w:rsidRDefault="00997C93" w:rsidP="00997C93">
      <w:r>
        <w:t>Negli ultimi anni il processo di specializzazione delle funzioni produttive, che si è andato affermando all’interno della filiera, ha fatto sì che i fornitori di componentistica si siano differenziati in base al diverso grado di qualificazione tecnologica progettuale.</w:t>
      </w:r>
    </w:p>
    <w:p w14:paraId="29E755D8" w14:textId="77777777" w:rsidR="00997C93" w:rsidRDefault="00997C93" w:rsidP="00997C93">
      <w:r>
        <w:t>A grandi linee la tipologia prevalente di produttori di componenti è riconducibile alle figure dei sistemisti, degli specialisti di componenti di sistema, dei fornitori di componenti.</w:t>
      </w:r>
    </w:p>
    <w:p w14:paraId="2AD50108" w14:textId="77777777" w:rsidR="00997C93" w:rsidRDefault="00997C93" w:rsidP="00997C93">
      <w:r>
        <w:t>Al massimo livello di qualificazione si trova la figura del sistemista, cioè di imprese che presentano un complesso di caratteristiche distintive tra cui spiccano in particolare un’ampia autonomia progettuale a livello di sistema, cioè di raggruppamenti complessivi di parti, e la capacità di integrare tecnologie diverse. Si tratta di fornitori di primo livello di grandi dimensioni, nella maggioranza dei casi multinazionali.</w:t>
      </w:r>
    </w:p>
    <w:p w14:paraId="48956746" w14:textId="77777777" w:rsidR="00997C93" w:rsidRDefault="00997C93" w:rsidP="00997C93">
      <w:r>
        <w:t>Ad un livello immediatamente inferiore si colloca lo specialista di componenti, che è dotato di una minore ampiezza di autonomia progettuale dal momento che opera prevalentemente sulla base di una specifica tecnologia pur garantendo la conoscenza degli aspetti impliciti nell’integrazione con tecnologie diverse. In questo caso però il know-how nella propria area di competenza è massimo.</w:t>
      </w:r>
    </w:p>
    <w:p w14:paraId="26A7BA54" w14:textId="77777777" w:rsidR="00997C93" w:rsidRDefault="00997C93" w:rsidP="00997C93">
      <w:r>
        <w:t>Il produttore di componenti si differenzia rispetto allo specialista di componenti per il fatto di non disporre di un controllo progettuale complessivo sul prodotto realizzato.</w:t>
      </w:r>
    </w:p>
    <w:p w14:paraId="0BA3F073" w14:textId="2E214695" w:rsidR="00997C93" w:rsidRDefault="00997C93" w:rsidP="00997C93">
      <w:r>
        <w:t>La Vimercati può essere annoverata tra i fornitori specialisti di componenti</w:t>
      </w:r>
      <w:r w:rsidR="00654872">
        <w:t>.</w:t>
      </w:r>
    </w:p>
    <w:p w14:paraId="14DEFED5" w14:textId="77777777" w:rsidR="000C0A5B" w:rsidRDefault="00905CDA" w:rsidP="00905CDA">
      <w:pPr>
        <w:pStyle w:val="Titolo1"/>
        <w:numPr>
          <w:ilvl w:val="0"/>
          <w:numId w:val="1"/>
        </w:numPr>
      </w:pPr>
      <w:bookmarkStart w:id="3" w:name="_Toc25674081"/>
      <w:r>
        <w:lastRenderedPageBreak/>
        <w:t>Struttura del Gruppo</w:t>
      </w:r>
      <w:bookmarkEnd w:id="3"/>
    </w:p>
    <w:p w14:paraId="49E2FDBB" w14:textId="77777777" w:rsidR="00905CDA" w:rsidRDefault="00905CDA" w:rsidP="00905CDA">
      <w:pPr>
        <w:pStyle w:val="Titolo2"/>
        <w:numPr>
          <w:ilvl w:val="1"/>
          <w:numId w:val="5"/>
        </w:numPr>
      </w:pPr>
      <w:r>
        <w:t xml:space="preserve"> </w:t>
      </w:r>
      <w:bookmarkStart w:id="4" w:name="_Toc25674082"/>
      <w:r>
        <w:t>Struttura organizzativa</w:t>
      </w:r>
      <w:bookmarkEnd w:id="4"/>
    </w:p>
    <w:p w14:paraId="242CCC4C" w14:textId="77777777" w:rsidR="00905CDA" w:rsidRDefault="00905CDA" w:rsidP="00905CDA">
      <w:r w:rsidRPr="00EF2F5E">
        <w:rPr>
          <w:rFonts w:cs="Tahoma"/>
          <w:noProof/>
          <w:lang w:eastAsia="it-IT"/>
        </w:rPr>
        <w:drawing>
          <wp:anchor distT="0" distB="0" distL="114300" distR="114300" simplePos="0" relativeHeight="251658240" behindDoc="0" locked="0" layoutInCell="1" allowOverlap="1" wp14:anchorId="4C8F495B" wp14:editId="2FFDFCBB">
            <wp:simplePos x="0" y="0"/>
            <wp:positionH relativeFrom="margin">
              <wp:align>center</wp:align>
            </wp:positionH>
            <wp:positionV relativeFrom="paragraph">
              <wp:posOffset>336550</wp:posOffset>
            </wp:positionV>
            <wp:extent cx="1896110" cy="2298700"/>
            <wp:effectExtent l="0" t="0" r="8890" b="635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6110" cy="2298700"/>
                    </a:xfrm>
                    <a:prstGeom prst="rect">
                      <a:avLst/>
                    </a:prstGeom>
                    <a:noFill/>
                  </pic:spPr>
                </pic:pic>
              </a:graphicData>
            </a:graphic>
          </wp:anchor>
        </w:drawing>
      </w:r>
      <w:r w:rsidRPr="00EF2F5E">
        <w:t>Nel diagramma seguente è schematicamente rappresentato il Gruppo Vimercati:</w:t>
      </w:r>
    </w:p>
    <w:p w14:paraId="65A63F85" w14:textId="77777777" w:rsidR="00905CDA" w:rsidRDefault="00905CDA" w:rsidP="00905CDA">
      <w:pPr>
        <w:spacing w:before="240"/>
        <w:rPr>
          <w:rFonts w:cs="Tahoma"/>
          <w:lang w:eastAsia="it-IT"/>
        </w:rPr>
      </w:pPr>
      <w:r>
        <w:rPr>
          <w:rFonts w:cs="Tahoma"/>
          <w:lang w:eastAsia="it-IT"/>
        </w:rPr>
        <w:t xml:space="preserve">Il Gruppo Vimercati è quindi ad oggi un sottogruppo del Gruppo </w:t>
      </w:r>
      <w:proofErr w:type="spellStart"/>
      <w:r>
        <w:rPr>
          <w:rFonts w:cs="Tahoma"/>
          <w:lang w:eastAsia="it-IT"/>
        </w:rPr>
        <w:t>Viney</w:t>
      </w:r>
      <w:proofErr w:type="spellEnd"/>
      <w:r>
        <w:rPr>
          <w:rFonts w:cs="Tahoma"/>
          <w:lang w:eastAsia="it-IT"/>
        </w:rPr>
        <w:t xml:space="preserve"> interamente dedicato alla progettazione, industrializzazione e produzione di componenti elettromeccanici ed elettronici di interruttori moduli, complessivi meccatronici e dispositivi integrati per il mercato dell’auto.</w:t>
      </w:r>
    </w:p>
    <w:p w14:paraId="2F5BDD57" w14:textId="4BA98309" w:rsidR="00D4212F" w:rsidRDefault="00D4212F" w:rsidP="00905CDA">
      <w:pPr>
        <w:spacing w:before="240"/>
        <w:rPr>
          <w:rFonts w:cs="Tahoma"/>
          <w:lang w:eastAsia="it-IT"/>
        </w:rPr>
      </w:pPr>
      <w:r>
        <w:rPr>
          <w:rFonts w:cs="Tahoma"/>
          <w:lang w:eastAsia="it-IT"/>
        </w:rPr>
        <w:t>Per ragioni di completezza si precisa che nel corso dell’esercizio 201</w:t>
      </w:r>
      <w:r w:rsidR="005D08DC">
        <w:rPr>
          <w:rFonts w:cs="Tahoma"/>
          <w:lang w:eastAsia="it-IT"/>
        </w:rPr>
        <w:t>8</w:t>
      </w:r>
      <w:r>
        <w:rPr>
          <w:rFonts w:cs="Tahoma"/>
          <w:lang w:eastAsia="it-IT"/>
        </w:rPr>
        <w:t xml:space="preserve">, Vimercati ha posto in essere transazioni anche con </w:t>
      </w:r>
      <w:proofErr w:type="spellStart"/>
      <w:r>
        <w:rPr>
          <w:rFonts w:cs="Tahoma"/>
          <w:lang w:eastAsia="it-IT"/>
        </w:rPr>
        <w:t>Viney</w:t>
      </w:r>
      <w:proofErr w:type="spellEnd"/>
      <w:r>
        <w:rPr>
          <w:rFonts w:cs="Tahoma"/>
          <w:lang w:eastAsia="it-IT"/>
        </w:rPr>
        <w:t xml:space="preserve"> Corporation East Europe S.r.l., società indirettamente controllata da </w:t>
      </w:r>
      <w:proofErr w:type="spellStart"/>
      <w:r>
        <w:rPr>
          <w:rFonts w:cs="Tahoma"/>
          <w:lang w:eastAsia="it-IT"/>
        </w:rPr>
        <w:t>Viney</w:t>
      </w:r>
      <w:proofErr w:type="spellEnd"/>
      <w:r>
        <w:rPr>
          <w:rFonts w:cs="Tahoma"/>
          <w:lang w:eastAsia="it-IT"/>
        </w:rPr>
        <w:t xml:space="preserve"> Corporation Ltd.</w:t>
      </w:r>
    </w:p>
    <w:p w14:paraId="35DFCF32" w14:textId="646CA9BB" w:rsidR="00905CDA" w:rsidRDefault="00151BA5" w:rsidP="00151BA5">
      <w:pPr>
        <w:pStyle w:val="Titolo2"/>
        <w:numPr>
          <w:ilvl w:val="1"/>
          <w:numId w:val="5"/>
        </w:numPr>
      </w:pPr>
      <w:bookmarkStart w:id="5" w:name="_Toc25674083"/>
      <w:r>
        <w:t>Struttura operativa</w:t>
      </w:r>
      <w:bookmarkEnd w:id="5"/>
    </w:p>
    <w:p w14:paraId="5562F627" w14:textId="6F79B0B8" w:rsidR="00151BA5" w:rsidRPr="00217337" w:rsidRDefault="00151BA5" w:rsidP="00151BA5">
      <w:pPr>
        <w:rPr>
          <w:rFonts w:cs="Tahoma"/>
        </w:rPr>
      </w:pPr>
      <w:r w:rsidRPr="00EC69EE">
        <w:rPr>
          <w:rFonts w:cs="Tahoma"/>
        </w:rPr>
        <w:t>Il Gruppo Vimercati è un “sottogruppo” composto da tre imprese: i) la controllante indiana</w:t>
      </w:r>
      <w:r>
        <w:rPr>
          <w:rFonts w:cs="Tahoma"/>
        </w:rPr>
        <w:t xml:space="preserve"> (</w:t>
      </w:r>
      <w:proofErr w:type="spellStart"/>
      <w:r>
        <w:rPr>
          <w:rFonts w:cs="Tahoma"/>
        </w:rPr>
        <w:t>Viney</w:t>
      </w:r>
      <w:proofErr w:type="spellEnd"/>
      <w:r>
        <w:rPr>
          <w:rFonts w:cs="Tahoma"/>
        </w:rPr>
        <w:t xml:space="preserve">) </w:t>
      </w:r>
      <w:r w:rsidRPr="00EC69EE">
        <w:rPr>
          <w:rFonts w:cs="Tahoma"/>
        </w:rPr>
        <w:t>produttore verticalmente integrato di component</w:t>
      </w:r>
      <w:r w:rsidRPr="00217337">
        <w:rPr>
          <w:rFonts w:cs="Tahoma"/>
        </w:rPr>
        <w:t xml:space="preserve">istica; ii) la controllata italiana (Vimercati) che accentra presso di sé quasi tutte le funzioni relative al processo produttivo avente quale sbocco principale il mercato europeo; iii) la controllata romena (VEE) che assolve la funzione di </w:t>
      </w:r>
      <w:r w:rsidR="00433A1B" w:rsidRPr="00217337">
        <w:rPr>
          <w:rFonts w:cs="Tahoma"/>
        </w:rPr>
        <w:t>“</w:t>
      </w:r>
      <w:proofErr w:type="spellStart"/>
      <w:r w:rsidRPr="00217337">
        <w:rPr>
          <w:rFonts w:cs="Tahoma"/>
          <w:i/>
        </w:rPr>
        <w:t>contract</w:t>
      </w:r>
      <w:proofErr w:type="spellEnd"/>
      <w:r w:rsidRPr="00217337">
        <w:rPr>
          <w:rFonts w:cs="Tahoma"/>
          <w:i/>
        </w:rPr>
        <w:t xml:space="preserve"> </w:t>
      </w:r>
      <w:proofErr w:type="spellStart"/>
      <w:r w:rsidRPr="00217337">
        <w:rPr>
          <w:rFonts w:cs="Tahoma"/>
          <w:i/>
        </w:rPr>
        <w:t>manufacturer</w:t>
      </w:r>
      <w:proofErr w:type="spellEnd"/>
      <w:r w:rsidRPr="00217337">
        <w:rPr>
          <w:rFonts w:cs="Tahoma"/>
        </w:rPr>
        <w:t>” e, per alcuni specifici prodotti e per alcuni selezionati clienti, effettua altresì un’attività distributiva.</w:t>
      </w:r>
    </w:p>
    <w:p w14:paraId="508A17E0" w14:textId="77777777" w:rsidR="00151BA5" w:rsidRPr="00217337" w:rsidRDefault="00151BA5" w:rsidP="00151BA5">
      <w:pPr>
        <w:rPr>
          <w:rFonts w:cs="Tahoma"/>
        </w:rPr>
      </w:pPr>
      <w:r w:rsidRPr="00217337">
        <w:rPr>
          <w:rFonts w:cs="Tahoma"/>
        </w:rPr>
        <w:t xml:space="preserve">Ancorché la capogruppo sia la controllante indiana </w:t>
      </w:r>
      <w:proofErr w:type="spellStart"/>
      <w:r w:rsidRPr="00217337">
        <w:rPr>
          <w:rFonts w:cs="Tahoma"/>
        </w:rPr>
        <w:t>Viney</w:t>
      </w:r>
      <w:proofErr w:type="spellEnd"/>
      <w:r w:rsidRPr="00217337">
        <w:rPr>
          <w:rFonts w:cs="Tahoma"/>
        </w:rPr>
        <w:t>, Vimercati, tenuto conto delle relazioni commerciali e dell’esperienza maturata, riveste un ruolo di primaria importanza all’interno del Gruppo e nell’implementazione delle relative strategie strumentali al conseguimento degli obiettivi prefissati.</w:t>
      </w:r>
    </w:p>
    <w:p w14:paraId="5CC2C0D1" w14:textId="77777777" w:rsidR="00151BA5" w:rsidRPr="00217337" w:rsidRDefault="00151BA5" w:rsidP="00151BA5">
      <w:pPr>
        <w:rPr>
          <w:rFonts w:cs="Tahoma"/>
        </w:rPr>
      </w:pPr>
      <w:r w:rsidRPr="00217337">
        <w:rPr>
          <w:rFonts w:cs="Tahoma"/>
        </w:rPr>
        <w:t>Vimercati ha concentrato nel proprio stabilimento italiano, oltre alla produzione di buona parte dei prodotti della gamma offerta e il controllo qualità degli stessi, le funzioni inerenti alla funzione commerciale, al Controllo di Gestione e alla R&amp;D - Innovazione e all’IT.</w:t>
      </w:r>
    </w:p>
    <w:p w14:paraId="366C06F7" w14:textId="77777777" w:rsidR="00151BA5" w:rsidRPr="00217337" w:rsidRDefault="00151BA5" w:rsidP="00151BA5">
      <w:pPr>
        <w:rPr>
          <w:rFonts w:cs="Tahoma"/>
        </w:rPr>
      </w:pPr>
      <w:r w:rsidRPr="00217337">
        <w:rPr>
          <w:rFonts w:cs="Tahoma"/>
        </w:rPr>
        <w:t>Tutti gli obiettivi commerciali del Gruppo, il ruolo e la collocazione dell’azienda sul mercato, i rapporti con la clientela, sono di competenza del dipartimento Marketing di Pero, in Italia.</w:t>
      </w:r>
    </w:p>
    <w:p w14:paraId="695400ED" w14:textId="77777777" w:rsidR="00151BA5" w:rsidRPr="00171B41" w:rsidRDefault="00151BA5" w:rsidP="00151BA5">
      <w:pPr>
        <w:rPr>
          <w:rFonts w:cs="Tahoma"/>
        </w:rPr>
      </w:pPr>
      <w:r w:rsidRPr="00217337">
        <w:rPr>
          <w:rFonts w:cs="Tahoma"/>
        </w:rPr>
        <w:lastRenderedPageBreak/>
        <w:t xml:space="preserve">Anche in termini di funzione tecnico-produttiva, un ruolo molto importante è svolto dalla “Direzione Stabilimento” italiana che, oltre a curare i volumi produttivi interni e i livelli qualitativi dei prodotti offerti, coordina e funge da </w:t>
      </w:r>
      <w:r w:rsidRPr="00217337">
        <w:rPr>
          <w:rFonts w:cs="Tahoma"/>
          <w:i/>
        </w:rPr>
        <w:t>supervisor</w:t>
      </w:r>
      <w:r w:rsidRPr="00217337">
        <w:rPr>
          <w:rFonts w:cs="Tahoma"/>
        </w:rPr>
        <w:t xml:space="preserve"> di tutte le operazioni (produzione, logistica, metodi e tecnologie) del Gruppo, fornendo un supporto importante in termi</w:t>
      </w:r>
      <w:r w:rsidRPr="00171B41">
        <w:rPr>
          <w:rFonts w:cs="Tahoma"/>
        </w:rPr>
        <w:t>ni di efficienza e sfruttamento di sinergie integrate all’interno del Gruppo Vimercati.</w:t>
      </w:r>
    </w:p>
    <w:p w14:paraId="56B48413" w14:textId="77777777" w:rsidR="00151BA5" w:rsidRPr="00217198" w:rsidRDefault="00151BA5" w:rsidP="00151BA5">
      <w:pPr>
        <w:rPr>
          <w:rFonts w:cs="Tahoma"/>
        </w:rPr>
      </w:pPr>
      <w:r w:rsidRPr="00217198">
        <w:rPr>
          <w:rFonts w:cs="Tahoma"/>
        </w:rPr>
        <w:t>Inoltre la sede italiana è il centro nevralgico della politica d’innovazione e IT del Gruppo. Si occupa sia dell’analisi di fattibilità di sviluppo del prodotto (puntando su sistemi integrati di meccatronica per proporre ai clienti soluzioni sempre più innovative e anticipando le tendenza evolutive del mercato) sia della gestione del sistema IT aziendale (proponendo soluzioni ottimali in funzione dei fabbisogni aziendali).</w:t>
      </w:r>
    </w:p>
    <w:p w14:paraId="663BB008" w14:textId="2944D5B3" w:rsidR="00151BA5" w:rsidRPr="00171B41" w:rsidRDefault="00151BA5" w:rsidP="00151BA5">
      <w:pPr>
        <w:rPr>
          <w:rFonts w:cs="Tahoma"/>
        </w:rPr>
      </w:pPr>
      <w:r w:rsidRPr="00217198">
        <w:rPr>
          <w:rFonts w:cs="Tahoma"/>
        </w:rPr>
        <w:t xml:space="preserve">Il ruolo della controllata romena all’interno del Gruppo è relativo a quelle attività di trasformazione meno complesse (quali l’assemblaggio dei prodotti), non richiedendo una manodopera particolarmente specializzata. SC Vimercati East Europe </w:t>
      </w:r>
      <w:proofErr w:type="spellStart"/>
      <w:r w:rsidRPr="00217198">
        <w:rPr>
          <w:rFonts w:cs="Tahoma"/>
        </w:rPr>
        <w:t>Srl</w:t>
      </w:r>
      <w:proofErr w:type="spellEnd"/>
      <w:r w:rsidRPr="00217198">
        <w:rPr>
          <w:rFonts w:cs="Tahoma"/>
        </w:rPr>
        <w:t xml:space="preserve"> (VEE) non è infatti coinvolta nelle fasi di progettazione e di ricerca e sviluppo, ricoprendo sostanzialmente il ruolo di “</w:t>
      </w:r>
      <w:proofErr w:type="spellStart"/>
      <w:r w:rsidRPr="00217198">
        <w:rPr>
          <w:rFonts w:cs="Tahoma"/>
          <w:i/>
        </w:rPr>
        <w:t>contract</w:t>
      </w:r>
      <w:proofErr w:type="spellEnd"/>
      <w:r w:rsidRPr="00217198">
        <w:rPr>
          <w:rFonts w:cs="Tahoma"/>
          <w:i/>
        </w:rPr>
        <w:t xml:space="preserve"> </w:t>
      </w:r>
      <w:proofErr w:type="spellStart"/>
      <w:r w:rsidRPr="00217198">
        <w:rPr>
          <w:rFonts w:cs="Tahoma"/>
          <w:i/>
        </w:rPr>
        <w:t>manufacturer</w:t>
      </w:r>
      <w:proofErr w:type="spellEnd"/>
      <w:r w:rsidRPr="00217198">
        <w:rPr>
          <w:rFonts w:cs="Tahoma"/>
        </w:rPr>
        <w:t xml:space="preserve">”, localmente gestito in modo autonomo, ma pur sempre in conformità alle linee guida produttive e commerciali impartite da Vimercati. Si segnala che, per talune linee di prodotti, dietro specifica richiesta del cliente, Vimercati ha demandato a VEE la cessione dei prodotti realizzati negli stabilimenti romeni direttamente al cliente finale e, quindi, ha attribuito alla stessa anche attività di natura distributiva. In tali circostanze, </w:t>
      </w:r>
      <w:r w:rsidR="00B061A0" w:rsidRPr="00217198">
        <w:rPr>
          <w:rFonts w:cs="Tahoma"/>
        </w:rPr>
        <w:t xml:space="preserve">VEE acquista da Vimercati </w:t>
      </w:r>
      <w:r w:rsidRPr="00217198">
        <w:rPr>
          <w:rFonts w:cs="Tahoma"/>
        </w:rPr>
        <w:t>le componenti necessarie all’assemblaggio dei prodotti finiti</w:t>
      </w:r>
      <w:r w:rsidR="00B061A0" w:rsidRPr="00217198">
        <w:rPr>
          <w:rFonts w:cs="Tahoma"/>
        </w:rPr>
        <w:t xml:space="preserve"> successivamente ceduti al cliente finale</w:t>
      </w:r>
      <w:r w:rsidRPr="00217198">
        <w:rPr>
          <w:rFonts w:cs="Tahoma"/>
        </w:rPr>
        <w:t>.</w:t>
      </w:r>
    </w:p>
    <w:p w14:paraId="1ADD08A9" w14:textId="77777777" w:rsidR="00151BA5" w:rsidRDefault="00151BA5" w:rsidP="00151BA5">
      <w:pPr>
        <w:rPr>
          <w:rFonts w:cs="Tahoma"/>
        </w:rPr>
      </w:pPr>
      <w:r>
        <w:rPr>
          <w:rFonts w:cs="Tahoma"/>
        </w:rPr>
        <w:t>Coerentemente con quanto descritto sopra, è utile quindi precisare che VEE esegue</w:t>
      </w:r>
      <w:r w:rsidRPr="00171B41">
        <w:rPr>
          <w:rFonts w:cs="Tahoma"/>
        </w:rPr>
        <w:t xml:space="preserve"> delle specifiche operazioni di </w:t>
      </w:r>
      <w:r>
        <w:rPr>
          <w:rFonts w:cs="Tahoma"/>
        </w:rPr>
        <w:t>trasformazione:</w:t>
      </w:r>
    </w:p>
    <w:p w14:paraId="2CA2087F" w14:textId="77777777" w:rsidR="00151BA5" w:rsidRDefault="00151BA5" w:rsidP="00151BA5">
      <w:pPr>
        <w:numPr>
          <w:ilvl w:val="0"/>
          <w:numId w:val="6"/>
        </w:numPr>
        <w:spacing w:before="0" w:after="160" w:line="240" w:lineRule="auto"/>
        <w:rPr>
          <w:rFonts w:cs="Tahoma"/>
        </w:rPr>
      </w:pPr>
      <w:proofErr w:type="gramStart"/>
      <w:r w:rsidRPr="0098099A">
        <w:rPr>
          <w:rFonts w:cs="Tahoma"/>
        </w:rPr>
        <w:t>seguendo</w:t>
      </w:r>
      <w:proofErr w:type="gramEnd"/>
      <w:r w:rsidRPr="0098099A">
        <w:rPr>
          <w:rFonts w:cs="Tahoma"/>
        </w:rPr>
        <w:t xml:space="preserve"> le precise istruzioni contenute nei cicli così come prescritte da Vimercati</w:t>
      </w:r>
      <w:r>
        <w:rPr>
          <w:rFonts w:cs="Tahoma"/>
        </w:rPr>
        <w:t>,</w:t>
      </w:r>
    </w:p>
    <w:p w14:paraId="5F2CC674" w14:textId="4D3B7580" w:rsidR="00151BA5" w:rsidRPr="0098099A" w:rsidRDefault="00151BA5" w:rsidP="00151BA5">
      <w:pPr>
        <w:numPr>
          <w:ilvl w:val="0"/>
          <w:numId w:val="6"/>
        </w:numPr>
        <w:spacing w:before="0" w:after="160" w:line="240" w:lineRule="auto"/>
        <w:rPr>
          <w:rFonts w:cs="Tahoma"/>
        </w:rPr>
      </w:pPr>
      <w:proofErr w:type="gramStart"/>
      <w:r>
        <w:rPr>
          <w:rFonts w:cs="Tahoma"/>
        </w:rPr>
        <w:t>delle</w:t>
      </w:r>
      <w:proofErr w:type="gramEnd"/>
      <w:r>
        <w:rPr>
          <w:rFonts w:cs="Tahoma"/>
        </w:rPr>
        <w:t xml:space="preserve"> componenti</w:t>
      </w:r>
      <w:r w:rsidRPr="0098099A">
        <w:rPr>
          <w:rFonts w:cs="Tahoma"/>
        </w:rPr>
        <w:t xml:space="preserve"> </w:t>
      </w:r>
      <w:r w:rsidR="00B061A0">
        <w:rPr>
          <w:rFonts w:cs="Tahoma"/>
        </w:rPr>
        <w:t xml:space="preserve">che </w:t>
      </w:r>
      <w:r w:rsidR="00B061A0" w:rsidRPr="003C1434">
        <w:rPr>
          <w:rFonts w:cs="Tahoma"/>
        </w:rPr>
        <w:t xml:space="preserve"> </w:t>
      </w:r>
      <w:r w:rsidRPr="00E952C7">
        <w:rPr>
          <w:rFonts w:cs="Tahoma"/>
        </w:rPr>
        <w:t xml:space="preserve">acquista </w:t>
      </w:r>
      <w:r w:rsidR="00B061A0">
        <w:rPr>
          <w:rFonts w:cs="Tahoma"/>
        </w:rPr>
        <w:t xml:space="preserve">dalla controllante quando VEE opera come </w:t>
      </w:r>
      <w:r w:rsidR="00B061A0" w:rsidRPr="00B061A0">
        <w:rPr>
          <w:rFonts w:cs="Tahoma"/>
          <w:i/>
        </w:rPr>
        <w:t>“</w:t>
      </w:r>
      <w:proofErr w:type="spellStart"/>
      <w:r w:rsidR="00B061A0" w:rsidRPr="00B061A0">
        <w:rPr>
          <w:rFonts w:cs="Tahoma"/>
          <w:i/>
        </w:rPr>
        <w:t>contract</w:t>
      </w:r>
      <w:proofErr w:type="spellEnd"/>
      <w:r w:rsidR="00B061A0" w:rsidRPr="00B061A0">
        <w:rPr>
          <w:rFonts w:cs="Tahoma"/>
          <w:i/>
        </w:rPr>
        <w:t xml:space="preserve"> </w:t>
      </w:r>
      <w:proofErr w:type="spellStart"/>
      <w:r w:rsidR="00B061A0" w:rsidRPr="00B061A0">
        <w:rPr>
          <w:rFonts w:cs="Tahoma"/>
          <w:i/>
        </w:rPr>
        <w:t>manufacturer</w:t>
      </w:r>
      <w:proofErr w:type="spellEnd"/>
      <w:r w:rsidR="00B061A0" w:rsidRPr="00B061A0">
        <w:rPr>
          <w:rFonts w:cs="Tahoma"/>
          <w:i/>
        </w:rPr>
        <w:t>”</w:t>
      </w:r>
      <w:r>
        <w:rPr>
          <w:rFonts w:cs="Tahoma"/>
        </w:rPr>
        <w:t>;</w:t>
      </w:r>
    </w:p>
    <w:p w14:paraId="53C63392" w14:textId="77777777" w:rsidR="00151BA5" w:rsidRDefault="00151BA5" w:rsidP="00151BA5">
      <w:pPr>
        <w:numPr>
          <w:ilvl w:val="0"/>
          <w:numId w:val="6"/>
        </w:numPr>
        <w:spacing w:before="0" w:after="160" w:line="240" w:lineRule="auto"/>
        <w:rPr>
          <w:rFonts w:cs="Tahoma"/>
        </w:rPr>
      </w:pPr>
      <w:proofErr w:type="gramStart"/>
      <w:r>
        <w:rPr>
          <w:rFonts w:cs="Tahoma"/>
        </w:rPr>
        <w:t>con</w:t>
      </w:r>
      <w:proofErr w:type="gramEnd"/>
      <w:r>
        <w:rPr>
          <w:rFonts w:cs="Tahoma"/>
        </w:rPr>
        <w:t xml:space="preserve"> l’ausilio </w:t>
      </w:r>
      <w:r w:rsidRPr="00171B41">
        <w:rPr>
          <w:rFonts w:cs="Tahoma"/>
        </w:rPr>
        <w:t xml:space="preserve">di mezzi di produzione </w:t>
      </w:r>
      <w:r>
        <w:rPr>
          <w:rFonts w:cs="Tahoma"/>
        </w:rPr>
        <w:t>messi a disposizione</w:t>
      </w:r>
      <w:r w:rsidRPr="00171B41">
        <w:rPr>
          <w:rFonts w:cs="Tahoma"/>
        </w:rPr>
        <w:t xml:space="preserve"> </w:t>
      </w:r>
      <w:r>
        <w:rPr>
          <w:rFonts w:cs="Tahoma"/>
        </w:rPr>
        <w:t xml:space="preserve">anche </w:t>
      </w:r>
      <w:r w:rsidRPr="00171B41">
        <w:rPr>
          <w:rFonts w:cs="Tahoma"/>
        </w:rPr>
        <w:t>dalla stessa Vimercati</w:t>
      </w:r>
      <w:r>
        <w:rPr>
          <w:rFonts w:cs="Tahoma"/>
        </w:rPr>
        <w:t>;</w:t>
      </w:r>
    </w:p>
    <w:p w14:paraId="75B5434C" w14:textId="77777777" w:rsidR="00151BA5" w:rsidRPr="00171B41" w:rsidRDefault="00151BA5" w:rsidP="00151BA5">
      <w:pPr>
        <w:numPr>
          <w:ilvl w:val="0"/>
          <w:numId w:val="6"/>
        </w:numPr>
        <w:spacing w:before="0" w:after="160" w:line="240" w:lineRule="auto"/>
        <w:rPr>
          <w:rFonts w:cs="Tahoma"/>
        </w:rPr>
      </w:pPr>
      <w:proofErr w:type="gramStart"/>
      <w:r>
        <w:rPr>
          <w:rFonts w:cs="Tahoma"/>
        </w:rPr>
        <w:t>delle</w:t>
      </w:r>
      <w:proofErr w:type="gramEnd"/>
      <w:r>
        <w:rPr>
          <w:rFonts w:cs="Tahoma"/>
        </w:rPr>
        <w:t xml:space="preserve"> componenti che acquista a titolo di proprietà da Vimercati per la realizzazione (assemblaggio) di talune categorie di prodotti finiti, destinati ad essere ceduti direttamente al cliente finale.</w:t>
      </w:r>
    </w:p>
    <w:p w14:paraId="45E3C3F4" w14:textId="14637353" w:rsidR="00151BA5" w:rsidRDefault="00151BA5" w:rsidP="00151BA5">
      <w:pPr>
        <w:rPr>
          <w:rFonts w:cs="Tahoma"/>
        </w:rPr>
      </w:pPr>
      <w:r>
        <w:rPr>
          <w:rFonts w:cs="Tahoma"/>
        </w:rPr>
        <w:t>In particolare, VEE si occupa principalmente</w:t>
      </w:r>
      <w:r w:rsidRPr="00171B41">
        <w:rPr>
          <w:rFonts w:cs="Tahoma"/>
        </w:rPr>
        <w:t xml:space="preserve"> di operazioni di assemblaggio</w:t>
      </w:r>
      <w:r w:rsidR="00B061A0">
        <w:rPr>
          <w:rFonts w:cs="Tahoma"/>
        </w:rPr>
        <w:t xml:space="preserve">, produzione </w:t>
      </w:r>
      <w:r w:rsidRPr="00171B41">
        <w:rPr>
          <w:rFonts w:cs="Tahoma"/>
        </w:rPr>
        <w:t xml:space="preserve">e controllo di singoli componenti </w:t>
      </w:r>
      <w:r w:rsidRPr="00EF704F">
        <w:rPr>
          <w:rFonts w:cs="Tahoma"/>
        </w:rPr>
        <w:t>al fine di ottenere dei semilavorati. Una volta pronti, alcuni di tali semilavorati vengono inviati in Italia in Vimercati</w:t>
      </w:r>
      <w:r>
        <w:rPr>
          <w:rFonts w:cs="Tahoma"/>
        </w:rPr>
        <w:t xml:space="preserve">, </w:t>
      </w:r>
      <w:r w:rsidRPr="00171B41">
        <w:rPr>
          <w:rFonts w:cs="Tahoma"/>
        </w:rPr>
        <w:t xml:space="preserve">dove </w:t>
      </w:r>
      <w:r>
        <w:rPr>
          <w:rFonts w:cs="Tahoma"/>
        </w:rPr>
        <w:t>sono</w:t>
      </w:r>
      <w:r w:rsidRPr="00171B41">
        <w:rPr>
          <w:rFonts w:cs="Tahoma"/>
        </w:rPr>
        <w:t xml:space="preserve"> completati</w:t>
      </w:r>
      <w:r>
        <w:rPr>
          <w:rFonts w:cs="Tahoma"/>
        </w:rPr>
        <w:t>,</w:t>
      </w:r>
      <w:r w:rsidRPr="00171B41">
        <w:rPr>
          <w:rFonts w:cs="Tahoma"/>
        </w:rPr>
        <w:t xml:space="preserve"> oppure</w:t>
      </w:r>
      <w:r>
        <w:rPr>
          <w:rFonts w:cs="Tahoma"/>
        </w:rPr>
        <w:t xml:space="preserve"> </w:t>
      </w:r>
      <w:r w:rsidRPr="00171B41">
        <w:rPr>
          <w:rFonts w:cs="Tahoma"/>
        </w:rPr>
        <w:t>direttamente spediti al cliente finale.</w:t>
      </w:r>
    </w:p>
    <w:p w14:paraId="4DE13F88" w14:textId="3DFECB55" w:rsidR="00151BA5" w:rsidRPr="00217198" w:rsidRDefault="00151BA5" w:rsidP="00151BA5">
      <w:pPr>
        <w:autoSpaceDE w:val="0"/>
        <w:autoSpaceDN w:val="0"/>
        <w:adjustRightInd w:val="0"/>
        <w:rPr>
          <w:rFonts w:cs="Tahoma"/>
        </w:rPr>
      </w:pPr>
      <w:r>
        <w:rPr>
          <w:rFonts w:cs="Tahoma"/>
        </w:rPr>
        <w:t>In questi casi, l</w:t>
      </w:r>
      <w:r w:rsidRPr="00171B41">
        <w:rPr>
          <w:rFonts w:cs="Tahoma"/>
        </w:rPr>
        <w:t xml:space="preserve">a relazione tra la controllante e la sua controllata </w:t>
      </w:r>
      <w:r>
        <w:rPr>
          <w:rFonts w:cs="Tahoma"/>
        </w:rPr>
        <w:t>è dunque quella che intercorre tra un’impresa committente e un’impresa</w:t>
      </w:r>
      <w:r w:rsidRPr="00171B41">
        <w:rPr>
          <w:rFonts w:cs="Tahoma"/>
        </w:rPr>
        <w:t xml:space="preserve"> </w:t>
      </w:r>
      <w:r>
        <w:rPr>
          <w:rFonts w:cs="Tahoma"/>
        </w:rPr>
        <w:t>che presta servizi di produzione</w:t>
      </w:r>
      <w:r w:rsidRPr="00171B41">
        <w:rPr>
          <w:rFonts w:cs="Tahoma"/>
        </w:rPr>
        <w:t xml:space="preserve"> (</w:t>
      </w:r>
      <w:r>
        <w:rPr>
          <w:rFonts w:cs="Tahoma"/>
        </w:rPr>
        <w:t xml:space="preserve">c.d. </w:t>
      </w:r>
      <w:proofErr w:type="spellStart"/>
      <w:r w:rsidRPr="00E11E32">
        <w:rPr>
          <w:rFonts w:cs="Tahoma"/>
          <w:i/>
        </w:rPr>
        <w:t>contract</w:t>
      </w:r>
      <w:proofErr w:type="spellEnd"/>
      <w:r w:rsidRPr="00E11E32">
        <w:rPr>
          <w:rFonts w:cs="Tahoma"/>
          <w:i/>
        </w:rPr>
        <w:t xml:space="preserve"> </w:t>
      </w:r>
      <w:proofErr w:type="spellStart"/>
      <w:r w:rsidRPr="00217198">
        <w:rPr>
          <w:rFonts w:cs="Tahoma"/>
          <w:i/>
        </w:rPr>
        <w:t>manufacturer</w:t>
      </w:r>
      <w:proofErr w:type="spellEnd"/>
      <w:r w:rsidRPr="00217198">
        <w:rPr>
          <w:rFonts w:cs="Tahoma"/>
        </w:rPr>
        <w:t>).</w:t>
      </w:r>
    </w:p>
    <w:p w14:paraId="554F20B8" w14:textId="77777777" w:rsidR="00151BA5" w:rsidRPr="00E952C7" w:rsidRDefault="00151BA5" w:rsidP="00151BA5">
      <w:pPr>
        <w:autoSpaceDE w:val="0"/>
        <w:autoSpaceDN w:val="0"/>
        <w:adjustRightInd w:val="0"/>
        <w:rPr>
          <w:rFonts w:cs="Tahoma"/>
        </w:rPr>
      </w:pPr>
      <w:r w:rsidRPr="00217198">
        <w:rPr>
          <w:rFonts w:cs="Tahoma"/>
        </w:rPr>
        <w:t xml:space="preserve">Talune categorie di prodotti e, in particolare, i prodotti </w:t>
      </w:r>
      <w:r w:rsidRPr="00A56D1A">
        <w:rPr>
          <w:rFonts w:cs="Tahoma"/>
          <w:highlight w:val="yellow"/>
        </w:rPr>
        <w:t>RUKO (attivatori airbag), PL7 (modulo luci) e HKL</w:t>
      </w:r>
      <w:r w:rsidRPr="00A56D1A">
        <w:rPr>
          <w:rFonts w:cs="Tahoma"/>
        </w:rPr>
        <w:t xml:space="preserve"> (inte</w:t>
      </w:r>
      <w:r w:rsidRPr="00217198">
        <w:rPr>
          <w:rFonts w:cs="Tahoma"/>
        </w:rPr>
        <w:t>rruttore apri bagagliai), una volta assemblati, anziché essere spediti al committente (Vimercati) per la successiva commercializzazione e distribuzione, come accade per tutte le altre linee di componenti assemblati in Romania, dietro specifica richiesta del cliente, gli stessi sono ceduti direttamente dalla controllata romena al cliente BMW, al fine di soddisfare esigenze di natura logistica e commerciale avanzate dal cliente medesimo.</w:t>
      </w:r>
      <w:r>
        <w:rPr>
          <w:rFonts w:cs="Tahoma"/>
        </w:rPr>
        <w:t xml:space="preserve"> </w:t>
      </w:r>
    </w:p>
    <w:p w14:paraId="13584415" w14:textId="12BA0902" w:rsidR="00C907CE" w:rsidRDefault="00151BA5" w:rsidP="00151BA5">
      <w:pPr>
        <w:rPr>
          <w:rFonts w:cs="Tahoma"/>
        </w:rPr>
      </w:pPr>
      <w:r>
        <w:rPr>
          <w:rFonts w:cs="Tahoma"/>
        </w:rPr>
        <w:lastRenderedPageBreak/>
        <w:t xml:space="preserve">Oltre alle transazioni intervenute con la controllata VEE, Vimercati ha posto in essere nell’esercizio alcune transazioni infragruppo con la sua controllante </w:t>
      </w:r>
      <w:proofErr w:type="spellStart"/>
      <w:r>
        <w:rPr>
          <w:rFonts w:cs="Tahoma"/>
        </w:rPr>
        <w:t>Viney</w:t>
      </w:r>
      <w:proofErr w:type="spellEnd"/>
      <w:r>
        <w:rPr>
          <w:rFonts w:cs="Tahoma"/>
        </w:rPr>
        <w:t xml:space="preserve">, essenzialmente relative all’acquisizione di componenti elettroniche e/o meccaniche e/o di stampi da impiegare nei cicli prodottivi di Vimercati, essendo la stessa un produttore verticalmente </w:t>
      </w:r>
      <w:r w:rsidRPr="00217198">
        <w:rPr>
          <w:rFonts w:cs="Tahoma"/>
        </w:rPr>
        <w:t>integrato</w:t>
      </w:r>
      <w:r w:rsidR="005A25C4">
        <w:rPr>
          <w:rFonts w:cs="Tahoma"/>
        </w:rPr>
        <w:t>.</w:t>
      </w:r>
      <w:r w:rsidR="000F3F51" w:rsidRPr="00217198">
        <w:rPr>
          <w:rFonts w:cs="Tahoma"/>
        </w:rPr>
        <w:t xml:space="preserve"> In ultimo, Vimercati ha acquistato materiali vari da </w:t>
      </w:r>
      <w:proofErr w:type="spellStart"/>
      <w:r w:rsidR="00217198" w:rsidRPr="00217198">
        <w:rPr>
          <w:rFonts w:cs="Tahoma"/>
        </w:rPr>
        <w:t>V</w:t>
      </w:r>
      <w:r w:rsidR="00217198">
        <w:rPr>
          <w:rFonts w:cs="Tahoma"/>
        </w:rPr>
        <w:t>iney</w:t>
      </w:r>
      <w:proofErr w:type="spellEnd"/>
      <w:r w:rsidR="00217198">
        <w:rPr>
          <w:rFonts w:cs="Tahoma"/>
        </w:rPr>
        <w:t xml:space="preserve"> Corporation</w:t>
      </w:r>
      <w:r w:rsidR="00217198" w:rsidRPr="00217198">
        <w:rPr>
          <w:rFonts w:cs="Tahoma"/>
        </w:rPr>
        <w:t xml:space="preserve"> </w:t>
      </w:r>
      <w:r w:rsidR="00213F33">
        <w:rPr>
          <w:rFonts w:cs="Tahoma"/>
        </w:rPr>
        <w:t>East Europe S.r.l</w:t>
      </w:r>
      <w:r w:rsidR="000F3F51" w:rsidRPr="00217198">
        <w:rPr>
          <w:rFonts w:cs="Tahoma"/>
        </w:rPr>
        <w:t>.</w:t>
      </w:r>
      <w:r w:rsidR="000F3F51">
        <w:rPr>
          <w:rFonts w:cs="Tahoma"/>
        </w:rPr>
        <w:t xml:space="preserve"> </w:t>
      </w:r>
    </w:p>
    <w:p w14:paraId="7608F656" w14:textId="77777777" w:rsidR="00C907CE" w:rsidRDefault="00C907CE">
      <w:pPr>
        <w:spacing w:before="0" w:after="160" w:line="259" w:lineRule="auto"/>
        <w:jc w:val="left"/>
        <w:rPr>
          <w:rFonts w:cs="Tahoma"/>
        </w:rPr>
      </w:pPr>
      <w:r>
        <w:rPr>
          <w:rFonts w:cs="Tahoma"/>
        </w:rPr>
        <w:br w:type="page"/>
      </w:r>
    </w:p>
    <w:p w14:paraId="4C32666F" w14:textId="3E898AFF" w:rsidR="00151BA5" w:rsidRDefault="00C907CE" w:rsidP="0022669C">
      <w:pPr>
        <w:pStyle w:val="Titolo1"/>
        <w:numPr>
          <w:ilvl w:val="0"/>
          <w:numId w:val="5"/>
        </w:numPr>
        <w:spacing w:line="320" w:lineRule="exact"/>
        <w:ind w:left="714" w:hanging="357"/>
      </w:pPr>
      <w:bookmarkStart w:id="6" w:name="_Toc25674084"/>
      <w:r>
        <w:lastRenderedPageBreak/>
        <w:t>Strategie generali perseguite dal Gruppo ed eventuali mutamenti di strategia rispetto al periodo d’imposta precedente</w:t>
      </w:r>
      <w:bookmarkEnd w:id="6"/>
    </w:p>
    <w:p w14:paraId="0CF0EADD" w14:textId="77777777" w:rsidR="00C907CE" w:rsidRPr="00C165CE" w:rsidRDefault="00C907CE" w:rsidP="00C907CE">
      <w:pPr>
        <w:spacing w:before="240"/>
        <w:rPr>
          <w:rFonts w:cs="Tahoma"/>
        </w:rPr>
      </w:pPr>
      <w:r w:rsidRPr="00C90522">
        <w:rPr>
          <w:rFonts w:cs="Tahoma"/>
        </w:rPr>
        <w:t xml:space="preserve">In linea generale, la strategia perseguita consiste nel puntare sulla crescita interna facendo leva sui punti di forza della struttura organizzativa nel suo complesso. Lo sviluppo futuro dell’azienda si baserà sulla ricerca di nuove opportunità di mercato sia in termini di prodotto sia in termini di clienti sfruttando il </w:t>
      </w:r>
      <w:r w:rsidRPr="009156F7">
        <w:t>kn</w:t>
      </w:r>
      <w:r w:rsidRPr="00C165CE">
        <w:t>ow-how</w:t>
      </w:r>
      <w:r w:rsidRPr="00C165CE">
        <w:rPr>
          <w:rFonts w:cs="Tahoma"/>
        </w:rPr>
        <w:t xml:space="preserve"> specifico, l’esperienza, la professionalità acquisite negli anni e l’ottima reputazione riconosciuta dall’attuale clientela.</w:t>
      </w:r>
    </w:p>
    <w:p w14:paraId="116EC873" w14:textId="77777777" w:rsidR="00C907CE" w:rsidRPr="00C90522" w:rsidRDefault="00C907CE" w:rsidP="00C907CE">
      <w:pPr>
        <w:rPr>
          <w:rFonts w:cs="Tahoma"/>
        </w:rPr>
      </w:pPr>
      <w:r w:rsidRPr="00C165CE">
        <w:rPr>
          <w:rFonts w:cs="Tahoma"/>
        </w:rPr>
        <w:t xml:space="preserve">Tra i punti di forza vanno menzionati alcuni elementi distintivi quali: la struttura snella e reattiva, la capacità d’innovazione incrementale di processo e di prodotto, le competenze elettroniche crescenti adeguate a soddisfare il rispetto dei requisiti d’integrazione, la padronanza dei processi esterni di stampaggio plastico, il governo degli aspetti ergonomici, estetico e tattili, il posizionamento adeguato sui fattori di competizione di base come qualità, puntualità, servizio, </w:t>
      </w:r>
      <w:r w:rsidRPr="00C165CE">
        <w:t>project management</w:t>
      </w:r>
      <w:r w:rsidRPr="00C165CE">
        <w:rPr>
          <w:rFonts w:cs="Tahoma"/>
        </w:rPr>
        <w:t>, l’esperienza consolidata nella gestione della catena del valore dei sub-fornitori tramite sistemi avanzati di SCM (</w:t>
      </w:r>
      <w:r w:rsidRPr="00C165CE">
        <w:rPr>
          <w:rFonts w:cs="Tahoma"/>
          <w:i/>
        </w:rPr>
        <w:t>supply chain management</w:t>
      </w:r>
      <w:r w:rsidRPr="00C165CE">
        <w:rPr>
          <w:rFonts w:cs="Tahoma"/>
        </w:rPr>
        <w:t xml:space="preserve">), il portafoglio prodotti/clienti equilibrato, il </w:t>
      </w:r>
      <w:r w:rsidRPr="00C165CE">
        <w:rPr>
          <w:rFonts w:cs="Tahoma"/>
          <w:i/>
        </w:rPr>
        <w:t>co-design</w:t>
      </w:r>
      <w:r w:rsidRPr="00C165CE">
        <w:rPr>
          <w:rFonts w:cs="Tahoma"/>
        </w:rPr>
        <w:t xml:space="preserve"> effettivo con le funzioni R&amp;D del cliente, la flessibilità sia in fase di </w:t>
      </w:r>
      <w:proofErr w:type="spellStart"/>
      <w:r w:rsidRPr="00C165CE">
        <w:rPr>
          <w:rFonts w:cs="Tahoma"/>
          <w:i/>
        </w:rPr>
        <w:t>concept</w:t>
      </w:r>
      <w:proofErr w:type="spellEnd"/>
      <w:r w:rsidRPr="00C165CE">
        <w:rPr>
          <w:rFonts w:cs="Tahoma"/>
        </w:rPr>
        <w:t xml:space="preserve"> che per le modifiche in corso d’opera, le forti competenze nel </w:t>
      </w:r>
      <w:proofErr w:type="spellStart"/>
      <w:r w:rsidRPr="00C165CE">
        <w:rPr>
          <w:rFonts w:cs="Tahoma"/>
          <w:i/>
        </w:rPr>
        <w:t>process</w:t>
      </w:r>
      <w:proofErr w:type="spellEnd"/>
      <w:r w:rsidRPr="00C165CE">
        <w:rPr>
          <w:rFonts w:cs="Tahoma"/>
          <w:i/>
        </w:rPr>
        <w:t xml:space="preserve"> engineering</w:t>
      </w:r>
      <w:r w:rsidRPr="00C165CE">
        <w:rPr>
          <w:rFonts w:cs="Tahoma"/>
        </w:rPr>
        <w:t xml:space="preserve"> e nella personalizzazione tecnologica di macchine ed impianti, l’approccio strutturale al </w:t>
      </w:r>
      <w:r w:rsidRPr="00C165CE">
        <w:rPr>
          <w:rFonts w:cs="Tahoma"/>
          <w:i/>
        </w:rPr>
        <w:t>design-to-</w:t>
      </w:r>
      <w:proofErr w:type="spellStart"/>
      <w:r w:rsidRPr="00C165CE">
        <w:rPr>
          <w:rFonts w:cs="Tahoma"/>
          <w:i/>
        </w:rPr>
        <w:t>cost</w:t>
      </w:r>
      <w:proofErr w:type="spellEnd"/>
      <w:r w:rsidRPr="00C165CE">
        <w:rPr>
          <w:rFonts w:cs="Tahoma"/>
        </w:rPr>
        <w:t>, l’esperienza specialistica distintiva.</w:t>
      </w:r>
    </w:p>
    <w:p w14:paraId="620CA50A" w14:textId="77777777" w:rsidR="00C907CE" w:rsidRPr="00C90522" w:rsidRDefault="00C907CE" w:rsidP="00C907CE">
      <w:pPr>
        <w:rPr>
          <w:rFonts w:cs="Tahoma"/>
        </w:rPr>
      </w:pPr>
      <w:r w:rsidRPr="00C90522">
        <w:rPr>
          <w:rFonts w:cs="Tahoma"/>
        </w:rPr>
        <w:t>Facendo leva su questi elementi distintivi della Vimercati si possono indicare alcune linee guida che ispirano le scelte di sviluppo del Gruppo:</w:t>
      </w:r>
    </w:p>
    <w:p w14:paraId="1A24527E"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diventare</w:t>
      </w:r>
      <w:proofErr w:type="gramEnd"/>
      <w:r w:rsidRPr="00C907CE">
        <w:rPr>
          <w:rFonts w:ascii="Times New Roman" w:hAnsi="Times New Roman"/>
          <w:color w:val="auto"/>
          <w:sz w:val="22"/>
          <w:szCs w:val="22"/>
          <w:lang w:eastAsia="en-US"/>
        </w:rPr>
        <w:t xml:space="preserve"> un fornitore </w:t>
      </w:r>
      <w:r w:rsidRPr="00C907CE">
        <w:rPr>
          <w:rFonts w:ascii="Times New Roman" w:hAnsi="Times New Roman"/>
          <w:color w:val="auto"/>
          <w:sz w:val="22"/>
        </w:rPr>
        <w:t>leader</w:t>
      </w:r>
      <w:r w:rsidRPr="00C907CE">
        <w:rPr>
          <w:rFonts w:ascii="Times New Roman" w:hAnsi="Times New Roman"/>
          <w:color w:val="auto"/>
          <w:sz w:val="22"/>
          <w:szCs w:val="22"/>
          <w:lang w:eastAsia="en-US"/>
        </w:rPr>
        <w:t xml:space="preserve"> nello sviluppo e nella produzione di complessivi meccatronici, sfruttando il vantaggio competitivo dato dalla padronanza dei requisiti meccanici/elettromeccanici e degli aspetti di ergonomia, estetica, tattilità, illuminazione, </w:t>
      </w:r>
      <w:proofErr w:type="spellStart"/>
      <w:r w:rsidRPr="00C907CE">
        <w:rPr>
          <w:rFonts w:ascii="Times New Roman" w:hAnsi="Times New Roman"/>
          <w:color w:val="auto"/>
          <w:sz w:val="22"/>
          <w:szCs w:val="22"/>
          <w:lang w:eastAsia="en-US"/>
        </w:rPr>
        <w:t>aptica</w:t>
      </w:r>
      <w:proofErr w:type="spellEnd"/>
      <w:r w:rsidRPr="00C907CE">
        <w:rPr>
          <w:rFonts w:ascii="Times New Roman" w:hAnsi="Times New Roman"/>
          <w:color w:val="auto"/>
          <w:sz w:val="22"/>
          <w:szCs w:val="22"/>
          <w:lang w:eastAsia="en-US"/>
        </w:rPr>
        <w:t xml:space="preserve"> e </w:t>
      </w:r>
      <w:proofErr w:type="spellStart"/>
      <w:r w:rsidRPr="00C907CE">
        <w:rPr>
          <w:rFonts w:ascii="Times New Roman" w:hAnsi="Times New Roman"/>
          <w:color w:val="auto"/>
          <w:sz w:val="22"/>
          <w:szCs w:val="22"/>
          <w:lang w:eastAsia="en-US"/>
        </w:rPr>
        <w:t>sensoristica</w:t>
      </w:r>
      <w:proofErr w:type="spellEnd"/>
      <w:r w:rsidRPr="00C907CE">
        <w:rPr>
          <w:rFonts w:ascii="Times New Roman" w:hAnsi="Times New Roman"/>
          <w:color w:val="auto"/>
          <w:sz w:val="22"/>
          <w:szCs w:val="22"/>
          <w:lang w:eastAsia="en-US"/>
        </w:rPr>
        <w:t>;</w:t>
      </w:r>
    </w:p>
    <w:p w14:paraId="7E7D67CA"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affermare</w:t>
      </w:r>
      <w:proofErr w:type="gramEnd"/>
      <w:r w:rsidRPr="00C907CE">
        <w:rPr>
          <w:rFonts w:ascii="Times New Roman" w:hAnsi="Times New Roman"/>
          <w:color w:val="auto"/>
          <w:sz w:val="22"/>
          <w:szCs w:val="22"/>
          <w:lang w:eastAsia="en-US"/>
        </w:rPr>
        <w:t xml:space="preserve"> sul mercato il ruolo di Vimercati come fornitore di dispositivi di interfaccia uomo-macchina (interruttori/moduli ergonomici) e macchina-macchina (interruttori funzionali), sviluppando capacità ulteriori di realizzazione di applicazioni integrate sempre più complesse e a crescente contenuto meccatronico;</w:t>
      </w:r>
    </w:p>
    <w:p w14:paraId="2C039D2E"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presidiare</w:t>
      </w:r>
      <w:proofErr w:type="gramEnd"/>
      <w:r w:rsidRPr="00C907CE">
        <w:rPr>
          <w:rFonts w:ascii="Times New Roman" w:hAnsi="Times New Roman"/>
          <w:color w:val="auto"/>
          <w:sz w:val="22"/>
          <w:szCs w:val="22"/>
          <w:lang w:eastAsia="en-US"/>
        </w:rPr>
        <w:t xml:space="preserve"> la quota di mercato e aumentare il fatturato, consolidando la leadership del segmento sui clienti attuali e attivando nuovi clienti/prodotti;</w:t>
      </w:r>
    </w:p>
    <w:p w14:paraId="21B1BDA9"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consolidare</w:t>
      </w:r>
      <w:proofErr w:type="gramEnd"/>
      <w:r w:rsidRPr="00C907CE">
        <w:rPr>
          <w:rFonts w:ascii="Times New Roman" w:hAnsi="Times New Roman"/>
          <w:color w:val="auto"/>
          <w:sz w:val="22"/>
          <w:szCs w:val="22"/>
          <w:lang w:eastAsia="en-US"/>
        </w:rPr>
        <w:t xml:space="preserve"> il dominio di tutti gli aspetti estetico, tattili, di illuminazione e retroilluminazione; </w:t>
      </w:r>
    </w:p>
    <w:p w14:paraId="3AC5CEF7"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potenziare</w:t>
      </w:r>
      <w:proofErr w:type="gramEnd"/>
      <w:r w:rsidRPr="00C907CE">
        <w:rPr>
          <w:rFonts w:ascii="Times New Roman" w:hAnsi="Times New Roman"/>
          <w:color w:val="auto"/>
          <w:sz w:val="22"/>
          <w:szCs w:val="22"/>
          <w:lang w:eastAsia="en-US"/>
        </w:rPr>
        <w:t xml:space="preserve"> l’esperienza nei trattamenti superficiali e nei processi di </w:t>
      </w:r>
      <w:proofErr w:type="spellStart"/>
      <w:r w:rsidRPr="00C907CE">
        <w:rPr>
          <w:rFonts w:ascii="Times New Roman" w:hAnsi="Times New Roman"/>
          <w:color w:val="auto"/>
          <w:sz w:val="22"/>
          <w:szCs w:val="22"/>
          <w:lang w:eastAsia="en-US"/>
        </w:rPr>
        <w:t>laseratura</w:t>
      </w:r>
      <w:proofErr w:type="spellEnd"/>
      <w:r w:rsidRPr="00C907CE">
        <w:rPr>
          <w:rFonts w:ascii="Times New Roman" w:hAnsi="Times New Roman"/>
          <w:color w:val="auto"/>
          <w:sz w:val="22"/>
          <w:szCs w:val="22"/>
          <w:lang w:eastAsia="en-US"/>
        </w:rPr>
        <w:t xml:space="preserve"> e verniciatura;</w:t>
      </w:r>
    </w:p>
    <w:p w14:paraId="51A1BA03"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potenziare</w:t>
      </w:r>
      <w:proofErr w:type="gramEnd"/>
      <w:r w:rsidRPr="00C907CE">
        <w:rPr>
          <w:rFonts w:ascii="Times New Roman" w:hAnsi="Times New Roman"/>
          <w:color w:val="auto"/>
          <w:sz w:val="22"/>
          <w:szCs w:val="22"/>
          <w:lang w:eastAsia="en-US"/>
        </w:rPr>
        <w:t xml:space="preserve"> l’efficienza dei processi chiave, con particolare riguardo al presidio dei costi e della gestione dei fornitori;</w:t>
      </w:r>
    </w:p>
    <w:p w14:paraId="4469EE97"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migliorare</w:t>
      </w:r>
      <w:proofErr w:type="gramEnd"/>
      <w:r w:rsidRPr="00C907CE">
        <w:rPr>
          <w:rFonts w:ascii="Times New Roman" w:hAnsi="Times New Roman"/>
          <w:color w:val="auto"/>
          <w:sz w:val="22"/>
          <w:szCs w:val="22"/>
          <w:lang w:eastAsia="en-US"/>
        </w:rPr>
        <w:t xml:space="preserve"> strumenti e metodi di lavoro in ambiente multi progetto;</w:t>
      </w:r>
    </w:p>
    <w:p w14:paraId="2EF2E71B"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rafforzare</w:t>
      </w:r>
      <w:proofErr w:type="gramEnd"/>
      <w:r w:rsidRPr="00C907CE">
        <w:rPr>
          <w:rFonts w:ascii="Times New Roman" w:hAnsi="Times New Roman"/>
          <w:color w:val="auto"/>
          <w:sz w:val="22"/>
          <w:szCs w:val="22"/>
          <w:lang w:eastAsia="en-US"/>
        </w:rPr>
        <w:t xml:space="preserve"> gli interventi di reingegnerizzazione dei prodotti/processi (</w:t>
      </w:r>
      <w:r w:rsidRPr="00C907CE">
        <w:rPr>
          <w:rFonts w:ascii="Times New Roman" w:hAnsi="Times New Roman"/>
          <w:i/>
          <w:color w:val="auto"/>
          <w:sz w:val="22"/>
          <w:szCs w:val="22"/>
          <w:lang w:eastAsia="en-US"/>
        </w:rPr>
        <w:t xml:space="preserve">design to </w:t>
      </w:r>
      <w:proofErr w:type="spellStart"/>
      <w:r w:rsidRPr="00C907CE">
        <w:rPr>
          <w:rFonts w:ascii="Times New Roman" w:hAnsi="Times New Roman"/>
          <w:i/>
          <w:color w:val="auto"/>
          <w:sz w:val="22"/>
          <w:szCs w:val="22"/>
          <w:lang w:eastAsia="en-US"/>
        </w:rPr>
        <w:t>cost</w:t>
      </w:r>
      <w:proofErr w:type="spellEnd"/>
      <w:r w:rsidRPr="00C907CE">
        <w:rPr>
          <w:rFonts w:ascii="Times New Roman" w:hAnsi="Times New Roman"/>
          <w:color w:val="auto"/>
          <w:sz w:val="22"/>
          <w:szCs w:val="22"/>
          <w:lang w:eastAsia="en-US"/>
        </w:rPr>
        <w:t>) puntando alla realizzazione di riduzioni sistematiche dei costi;</w:t>
      </w:r>
    </w:p>
    <w:p w14:paraId="3798BEE4"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accrescere</w:t>
      </w:r>
      <w:proofErr w:type="gramEnd"/>
      <w:r w:rsidRPr="00C907CE">
        <w:rPr>
          <w:rFonts w:ascii="Times New Roman" w:hAnsi="Times New Roman"/>
          <w:color w:val="auto"/>
          <w:sz w:val="22"/>
          <w:szCs w:val="22"/>
          <w:lang w:eastAsia="en-US"/>
        </w:rPr>
        <w:t xml:space="preserve"> le competenze specialistiche accelerando lo sviluppo delle conoscenze elettroniche;</w:t>
      </w:r>
    </w:p>
    <w:p w14:paraId="79E000A0"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privilegiare</w:t>
      </w:r>
      <w:proofErr w:type="gramEnd"/>
      <w:r w:rsidRPr="00C907CE">
        <w:rPr>
          <w:rFonts w:ascii="Times New Roman" w:hAnsi="Times New Roman"/>
          <w:color w:val="auto"/>
          <w:sz w:val="22"/>
          <w:szCs w:val="22"/>
          <w:lang w:eastAsia="en-US"/>
        </w:rPr>
        <w:t xml:space="preserve"> gli investimenti in attività di innovazione sia incrementale che radicale, promuovendo soluzioni innovative;</w:t>
      </w:r>
    </w:p>
    <w:p w14:paraId="2184E520"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realizzare</w:t>
      </w:r>
      <w:proofErr w:type="gramEnd"/>
      <w:r w:rsidRPr="00C907CE">
        <w:rPr>
          <w:rFonts w:ascii="Times New Roman" w:hAnsi="Times New Roman"/>
          <w:color w:val="auto"/>
          <w:sz w:val="22"/>
          <w:szCs w:val="22"/>
          <w:lang w:eastAsia="en-US"/>
        </w:rPr>
        <w:t xml:space="preserve"> un piano di internalizzazione della produzione di componentistica elettronica;</w:t>
      </w:r>
    </w:p>
    <w:p w14:paraId="0256BECA"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lastRenderedPageBreak/>
        <w:t>ricercare</w:t>
      </w:r>
      <w:proofErr w:type="gramEnd"/>
      <w:r w:rsidRPr="00C907CE">
        <w:rPr>
          <w:rFonts w:ascii="Times New Roman" w:hAnsi="Times New Roman"/>
          <w:color w:val="auto"/>
          <w:sz w:val="22"/>
          <w:szCs w:val="22"/>
          <w:lang w:eastAsia="en-US"/>
        </w:rPr>
        <w:t xml:space="preserve"> accordi di collaborazione/partnership con altri operatori, in particolare sui mercati in forte espansione del BRIC (Brasile/Russia/India/Cina);</w:t>
      </w:r>
    </w:p>
    <w:p w14:paraId="54E20DC5"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puntare</w:t>
      </w:r>
      <w:proofErr w:type="gramEnd"/>
      <w:r w:rsidRPr="00C907CE">
        <w:rPr>
          <w:rFonts w:ascii="Times New Roman" w:hAnsi="Times New Roman"/>
          <w:color w:val="auto"/>
          <w:sz w:val="22"/>
          <w:szCs w:val="22"/>
          <w:lang w:eastAsia="en-US"/>
        </w:rPr>
        <w:t xml:space="preserve"> alla creazione di una rete qualificata di subfornitura locale in Romania coerente con gli standard qualitativi e di servizio della società;</w:t>
      </w:r>
    </w:p>
    <w:p w14:paraId="7F3715DB" w14:textId="77777777" w:rsidR="00C907CE" w:rsidRPr="00C907CE" w:rsidRDefault="00C907CE" w:rsidP="00C907CE">
      <w:pPr>
        <w:pStyle w:val="paragraphstyle2"/>
        <w:numPr>
          <w:ilvl w:val="0"/>
          <w:numId w:val="7"/>
        </w:numPr>
        <w:spacing w:before="60" w:after="60" w:line="260" w:lineRule="exact"/>
        <w:ind w:left="714" w:right="28" w:hanging="357"/>
        <w:rPr>
          <w:rFonts w:ascii="Times New Roman" w:hAnsi="Times New Roman"/>
          <w:color w:val="auto"/>
          <w:sz w:val="22"/>
          <w:szCs w:val="22"/>
          <w:lang w:eastAsia="en-US"/>
        </w:rPr>
      </w:pPr>
      <w:proofErr w:type="gramStart"/>
      <w:r w:rsidRPr="00C907CE">
        <w:rPr>
          <w:rFonts w:ascii="Times New Roman" w:hAnsi="Times New Roman"/>
          <w:color w:val="auto"/>
          <w:sz w:val="22"/>
          <w:szCs w:val="22"/>
          <w:lang w:eastAsia="en-US"/>
        </w:rPr>
        <w:t>testare</w:t>
      </w:r>
      <w:proofErr w:type="gramEnd"/>
      <w:r w:rsidRPr="00C907CE">
        <w:rPr>
          <w:rFonts w:ascii="Times New Roman" w:hAnsi="Times New Roman"/>
          <w:color w:val="auto"/>
          <w:sz w:val="22"/>
          <w:szCs w:val="22"/>
          <w:lang w:eastAsia="en-US"/>
        </w:rPr>
        <w:t xml:space="preserve"> le potenzialità di diversificazione verso nuovi mercati/prodotti.</w:t>
      </w:r>
    </w:p>
    <w:p w14:paraId="7F4E7ADA" w14:textId="77777777" w:rsidR="00C907CE" w:rsidRDefault="00C907CE" w:rsidP="00C907CE">
      <w:pPr>
        <w:rPr>
          <w:rFonts w:cs="Tahoma"/>
          <w:lang w:eastAsia="it-IT"/>
        </w:rPr>
      </w:pPr>
      <w:r>
        <w:rPr>
          <w:rFonts w:cs="Tahoma"/>
          <w:lang w:eastAsia="it-IT"/>
        </w:rPr>
        <w:t xml:space="preserve">L’analisi e la valutazione delle </w:t>
      </w:r>
      <w:r w:rsidRPr="00D7120E">
        <w:rPr>
          <w:rFonts w:cs="Tahoma"/>
          <w:lang w:eastAsia="it-IT"/>
        </w:rPr>
        <w:t xml:space="preserve">transazioni </w:t>
      </w:r>
      <w:r>
        <w:rPr>
          <w:rFonts w:cs="Tahoma"/>
          <w:lang w:eastAsia="it-IT"/>
        </w:rPr>
        <w:t>“</w:t>
      </w:r>
      <w:r w:rsidRPr="00C41384">
        <w:rPr>
          <w:rFonts w:cs="Tahoma"/>
          <w:i/>
          <w:lang w:eastAsia="it-IT"/>
        </w:rPr>
        <w:t>intercompany</w:t>
      </w:r>
      <w:r>
        <w:rPr>
          <w:rFonts w:cs="Tahoma"/>
          <w:lang w:eastAsia="it-IT"/>
        </w:rPr>
        <w:t xml:space="preserve">” poste in essere da Vimercati, pertanto, deve essere effettuata tenendo debitamente conto delle azioni poste in essere per implementare le strategie del </w:t>
      </w:r>
      <w:r w:rsidRPr="00200A63">
        <w:rPr>
          <w:rFonts w:cs="Tahoma"/>
          <w:i/>
          <w:lang w:eastAsia="it-IT"/>
        </w:rPr>
        <w:t>management</w:t>
      </w:r>
      <w:r>
        <w:rPr>
          <w:rFonts w:cs="Tahoma"/>
          <w:lang w:eastAsia="it-IT"/>
        </w:rPr>
        <w:t xml:space="preserve"> e, quindi, conseguire gli obiettivi finalizzati ad accrescere e sviluppare la capacità di internazionalizzazione della stessa, e ciò con particolare riferimento ai processi produttivi.</w:t>
      </w:r>
    </w:p>
    <w:p w14:paraId="00CBE6A0" w14:textId="5A4F5127" w:rsidR="00C907CE" w:rsidRDefault="00C907CE" w:rsidP="00C907CE">
      <w:pPr>
        <w:rPr>
          <w:rFonts w:cs="Tahoma"/>
          <w:lang w:eastAsia="it-IT"/>
        </w:rPr>
      </w:pPr>
      <w:r>
        <w:rPr>
          <w:rFonts w:cs="Tahoma"/>
          <w:lang w:eastAsia="it-IT"/>
        </w:rPr>
        <w:t>In</w:t>
      </w:r>
      <w:r w:rsidRPr="00D7120E">
        <w:rPr>
          <w:rFonts w:cs="Tahoma"/>
          <w:lang w:eastAsia="it-IT"/>
        </w:rPr>
        <w:t xml:space="preserve"> generale, è bene considerare che ognuno dei suesposti obiettivi ha </w:t>
      </w:r>
      <w:r>
        <w:rPr>
          <w:rFonts w:cs="Tahoma"/>
          <w:lang w:eastAsia="it-IT"/>
        </w:rPr>
        <w:t>quale</w:t>
      </w:r>
      <w:r w:rsidRPr="00D7120E">
        <w:rPr>
          <w:rFonts w:cs="Tahoma"/>
          <w:lang w:eastAsia="it-IT"/>
        </w:rPr>
        <w:t xml:space="preserve"> prerequisito il rispetto dell’esigenza primaria rappresentata dalla competitività del costo di prodotto, che resta ed è destinata a restare il fattore discriminante nell’acquisizione di nuove commesse.</w:t>
      </w:r>
    </w:p>
    <w:p w14:paraId="295B2B1E" w14:textId="301828B9" w:rsidR="00C907CE" w:rsidRDefault="00C907CE" w:rsidP="00C907CE">
      <w:pPr>
        <w:rPr>
          <w:rFonts w:cs="Tahoma"/>
        </w:rPr>
      </w:pPr>
      <w:r>
        <w:rPr>
          <w:rFonts w:cs="Tahoma"/>
        </w:rPr>
        <w:t>Peraltro, la ricerca di un partner industriale in uno dei Paesi dell’area BRIC</w:t>
      </w:r>
      <w:r w:rsidR="00B524D8">
        <w:rPr>
          <w:rFonts w:cs="Tahoma"/>
        </w:rPr>
        <w:t xml:space="preserve">, come </w:t>
      </w:r>
      <w:proofErr w:type="spellStart"/>
      <w:r w:rsidR="00B524D8">
        <w:rPr>
          <w:rFonts w:cs="Tahoma"/>
        </w:rPr>
        <w:t>Viney</w:t>
      </w:r>
      <w:proofErr w:type="spellEnd"/>
      <w:r w:rsidR="00B524D8">
        <w:rPr>
          <w:rFonts w:cs="Tahoma"/>
        </w:rPr>
        <w:t>,</w:t>
      </w:r>
      <w:r>
        <w:rPr>
          <w:rFonts w:cs="Tahoma"/>
        </w:rPr>
        <w:t xml:space="preserve"> deve essere ascritta sempre nell’ambito della citata prospettiva, ovvero quella di sviluppare il carattere internazionale di Vimercati, cogliendo le opportunità del mercato globale.</w:t>
      </w:r>
    </w:p>
    <w:p w14:paraId="1A51B356" w14:textId="657CB057" w:rsidR="00C907CE" w:rsidRDefault="00C907CE">
      <w:pPr>
        <w:spacing w:before="0" w:after="160" w:line="259" w:lineRule="auto"/>
        <w:jc w:val="left"/>
      </w:pPr>
      <w:r>
        <w:br w:type="page"/>
      </w:r>
    </w:p>
    <w:p w14:paraId="715FD95E" w14:textId="7E5925A5" w:rsidR="00D94D81" w:rsidRDefault="00C907CE" w:rsidP="005924B7">
      <w:pPr>
        <w:pStyle w:val="Titolo1"/>
        <w:numPr>
          <w:ilvl w:val="0"/>
          <w:numId w:val="5"/>
        </w:numPr>
        <w:spacing w:line="320" w:lineRule="exact"/>
        <w:ind w:left="714" w:hanging="357"/>
        <w:rPr>
          <w:lang w:eastAsia="ja-JP"/>
        </w:rPr>
      </w:pPr>
      <w:bookmarkStart w:id="7" w:name="_Toc25674085"/>
      <w:commentRangeStart w:id="8"/>
      <w:r>
        <w:rPr>
          <w:lang w:eastAsia="ja-JP"/>
        </w:rPr>
        <w:lastRenderedPageBreak/>
        <w:t>Flussi delle operazioni</w:t>
      </w:r>
      <w:commentRangeEnd w:id="8"/>
      <w:r w:rsidR="00683F51">
        <w:rPr>
          <w:rStyle w:val="Rimandocommento"/>
          <w:rFonts w:eastAsiaTheme="minorHAnsi" w:cstheme="minorBidi"/>
          <w:b w:val="0"/>
        </w:rPr>
        <w:commentReference w:id="8"/>
      </w:r>
      <w:bookmarkEnd w:id="7"/>
    </w:p>
    <w:p w14:paraId="66C8E015" w14:textId="77777777" w:rsidR="00D94D81" w:rsidRDefault="00D94D81" w:rsidP="00D94D81">
      <w:pPr>
        <w:autoSpaceDE w:val="0"/>
        <w:autoSpaceDN w:val="0"/>
        <w:adjustRightInd w:val="0"/>
        <w:rPr>
          <w:rFonts w:cs="Tahoma"/>
        </w:rPr>
      </w:pPr>
      <w:r w:rsidRPr="00171B41">
        <w:rPr>
          <w:rFonts w:cs="Tahoma"/>
        </w:rPr>
        <w:t>Nell</w:t>
      </w:r>
      <w:r>
        <w:rPr>
          <w:rFonts w:cs="Tahoma"/>
        </w:rPr>
        <w:t>e</w:t>
      </w:r>
      <w:r w:rsidRPr="00171B41">
        <w:rPr>
          <w:rFonts w:cs="Tahoma"/>
        </w:rPr>
        <w:t xml:space="preserve"> tabell</w:t>
      </w:r>
      <w:r>
        <w:rPr>
          <w:rFonts w:cs="Tahoma"/>
        </w:rPr>
        <w:t>e</w:t>
      </w:r>
      <w:r w:rsidRPr="00171B41">
        <w:rPr>
          <w:rFonts w:cs="Tahoma"/>
        </w:rPr>
        <w:t xml:space="preserve"> </w:t>
      </w:r>
      <w:r>
        <w:rPr>
          <w:rFonts w:cs="Tahoma"/>
        </w:rPr>
        <w:t xml:space="preserve">di seguito riepilogate </w:t>
      </w:r>
      <w:r w:rsidRPr="00171B41">
        <w:rPr>
          <w:rFonts w:cs="Tahoma"/>
        </w:rPr>
        <w:t>sono evidenziate, per ciascuna categoria di transazioni infragruppo, le modalità di fatturazione e i relativi importi annui, nonché la spiegazione della logica economico</w:t>
      </w:r>
      <w:r>
        <w:rPr>
          <w:rFonts w:cs="Tahoma"/>
        </w:rPr>
        <w:t>-giuridica</w:t>
      </w:r>
      <w:r w:rsidRPr="00171B41">
        <w:rPr>
          <w:rFonts w:cs="Tahoma"/>
        </w:rPr>
        <w:t xml:space="preserve"> sottostante le dinamiche dei flussi sopra</w:t>
      </w:r>
      <w:r>
        <w:rPr>
          <w:rFonts w:cs="Tahoma"/>
        </w:rPr>
        <w:t xml:space="preserve"> schematicamente rappresentati. </w:t>
      </w:r>
    </w:p>
    <w:p w14:paraId="1F218C51" w14:textId="77777777" w:rsidR="00D94D81" w:rsidRPr="00510DCE" w:rsidRDefault="00D94D81" w:rsidP="00D94D81">
      <w:pPr>
        <w:spacing w:after="40"/>
        <w:rPr>
          <w:b/>
          <w:sz w:val="18"/>
          <w:lang w:eastAsia="ja-JP"/>
        </w:rPr>
      </w:pPr>
      <w:r>
        <w:rPr>
          <w:b/>
          <w:sz w:val="18"/>
          <w:lang w:eastAsia="ja-JP"/>
        </w:rPr>
        <w:t>Tabella: Operazioni infragruppo</w:t>
      </w:r>
    </w:p>
    <w:tbl>
      <w:tblPr>
        <w:tblStyle w:val="Grigliatabella"/>
        <w:tblW w:w="8926" w:type="dxa"/>
        <w:tblLayout w:type="fixed"/>
        <w:tblLook w:val="04A0" w:firstRow="1" w:lastRow="0" w:firstColumn="1" w:lastColumn="0" w:noHBand="0" w:noVBand="1"/>
      </w:tblPr>
      <w:tblGrid>
        <w:gridCol w:w="450"/>
        <w:gridCol w:w="1388"/>
        <w:gridCol w:w="1276"/>
        <w:gridCol w:w="1417"/>
        <w:gridCol w:w="2977"/>
        <w:gridCol w:w="1418"/>
      </w:tblGrid>
      <w:tr w:rsidR="00A97FA7" w14:paraId="2B8E2C7B" w14:textId="73311C1E" w:rsidTr="00A97FA7">
        <w:tc>
          <w:tcPr>
            <w:tcW w:w="1838" w:type="dxa"/>
            <w:gridSpan w:val="2"/>
            <w:shd w:val="clear" w:color="auto" w:fill="00338D"/>
            <w:vAlign w:val="center"/>
          </w:tcPr>
          <w:p w14:paraId="6510B0CD" w14:textId="77777777" w:rsidR="00A97FA7" w:rsidRPr="00610F1F" w:rsidRDefault="00A97FA7" w:rsidP="00A953C1">
            <w:pPr>
              <w:pStyle w:val="Nessunaspaziatura"/>
              <w:rPr>
                <w:b/>
                <w:color w:val="FFFFFF" w:themeColor="background1"/>
              </w:rPr>
            </w:pPr>
            <w:r>
              <w:rPr>
                <w:b/>
                <w:color w:val="FFFFFF" w:themeColor="background1"/>
              </w:rPr>
              <w:t>Transazioni principali</w:t>
            </w:r>
          </w:p>
        </w:tc>
        <w:tc>
          <w:tcPr>
            <w:tcW w:w="1276" w:type="dxa"/>
            <w:shd w:val="clear" w:color="auto" w:fill="00338D"/>
            <w:vAlign w:val="center"/>
          </w:tcPr>
          <w:p w14:paraId="4C5B9D36" w14:textId="77777777" w:rsidR="00A97FA7" w:rsidRPr="00610F1F" w:rsidRDefault="00A97FA7" w:rsidP="00A953C1">
            <w:pPr>
              <w:pStyle w:val="Nessunaspaziatura"/>
              <w:rPr>
                <w:b/>
                <w:color w:val="FFFFFF" w:themeColor="background1"/>
              </w:rPr>
            </w:pPr>
            <w:r>
              <w:rPr>
                <w:b/>
                <w:color w:val="FFFFFF" w:themeColor="background1"/>
              </w:rPr>
              <w:t>Cedente / Prestatore</w:t>
            </w:r>
          </w:p>
        </w:tc>
        <w:tc>
          <w:tcPr>
            <w:tcW w:w="1417" w:type="dxa"/>
            <w:shd w:val="clear" w:color="auto" w:fill="00338D"/>
            <w:vAlign w:val="center"/>
          </w:tcPr>
          <w:p w14:paraId="47516C6F" w14:textId="77777777" w:rsidR="00A97FA7" w:rsidRPr="00610F1F" w:rsidRDefault="00A97FA7" w:rsidP="00A953C1">
            <w:pPr>
              <w:pStyle w:val="Nessunaspaziatura"/>
              <w:rPr>
                <w:b/>
                <w:color w:val="FFFFFF" w:themeColor="background1"/>
              </w:rPr>
            </w:pPr>
            <w:r>
              <w:rPr>
                <w:b/>
                <w:color w:val="FFFFFF" w:themeColor="background1"/>
              </w:rPr>
              <w:t>Cessionario / Beneficiario</w:t>
            </w:r>
          </w:p>
        </w:tc>
        <w:tc>
          <w:tcPr>
            <w:tcW w:w="2977" w:type="dxa"/>
            <w:shd w:val="clear" w:color="auto" w:fill="00338D"/>
            <w:vAlign w:val="center"/>
          </w:tcPr>
          <w:p w14:paraId="19B9BFF5" w14:textId="5DB8284E" w:rsidR="00A97FA7" w:rsidRPr="00610F1F" w:rsidRDefault="00A97FA7" w:rsidP="00A953C1">
            <w:pPr>
              <w:pStyle w:val="Nessunaspaziatura"/>
              <w:rPr>
                <w:b/>
                <w:color w:val="FFFFFF" w:themeColor="background1"/>
              </w:rPr>
            </w:pPr>
            <w:r>
              <w:rPr>
                <w:b/>
                <w:color w:val="FFFFFF" w:themeColor="background1"/>
              </w:rPr>
              <w:t>Modalità di fatturazione</w:t>
            </w:r>
          </w:p>
        </w:tc>
        <w:tc>
          <w:tcPr>
            <w:tcW w:w="1418" w:type="dxa"/>
            <w:shd w:val="clear" w:color="auto" w:fill="00338D"/>
            <w:vAlign w:val="center"/>
          </w:tcPr>
          <w:p w14:paraId="0605E77C" w14:textId="77777777" w:rsidR="00A97FA7" w:rsidRPr="00610F1F" w:rsidRDefault="00A97FA7" w:rsidP="00A953C1">
            <w:pPr>
              <w:pStyle w:val="Nessunaspaziatura"/>
              <w:jc w:val="right"/>
              <w:rPr>
                <w:b/>
                <w:color w:val="FFFFFF" w:themeColor="background1"/>
              </w:rPr>
            </w:pPr>
            <w:r>
              <w:rPr>
                <w:b/>
                <w:color w:val="FFFFFF" w:themeColor="background1"/>
              </w:rPr>
              <w:t>Importo (€)</w:t>
            </w:r>
          </w:p>
        </w:tc>
      </w:tr>
      <w:tr w:rsidR="00A97FA7" w14:paraId="3CC4B7E8" w14:textId="5BEFE6EA" w:rsidTr="00A97FA7">
        <w:tc>
          <w:tcPr>
            <w:tcW w:w="450" w:type="dxa"/>
            <w:vAlign w:val="center"/>
          </w:tcPr>
          <w:p w14:paraId="67B1F87D" w14:textId="7D179E04" w:rsidR="00A97FA7" w:rsidRDefault="00A97FA7" w:rsidP="00A953C1">
            <w:pPr>
              <w:pStyle w:val="Nessunaspaziatura"/>
              <w:rPr>
                <w:b/>
              </w:rPr>
            </w:pPr>
            <w:r>
              <w:rPr>
                <w:b/>
              </w:rPr>
              <w:t>T</w:t>
            </w:r>
            <w:r w:rsidR="00FA0682">
              <w:rPr>
                <w:b/>
              </w:rPr>
              <w:t>1</w:t>
            </w:r>
          </w:p>
        </w:tc>
        <w:tc>
          <w:tcPr>
            <w:tcW w:w="1388" w:type="dxa"/>
            <w:vAlign w:val="center"/>
          </w:tcPr>
          <w:p w14:paraId="3196D02B" w14:textId="77777777" w:rsidR="00A97FA7" w:rsidRPr="00610F1F" w:rsidRDefault="00A97FA7" w:rsidP="00A953C1">
            <w:pPr>
              <w:pStyle w:val="Nessunaspaziatura"/>
              <w:rPr>
                <w:b/>
              </w:rPr>
            </w:pPr>
            <w:r>
              <w:rPr>
                <w:b/>
              </w:rPr>
              <w:t>Produzione a contratto</w:t>
            </w:r>
          </w:p>
        </w:tc>
        <w:tc>
          <w:tcPr>
            <w:tcW w:w="1276" w:type="dxa"/>
            <w:vAlign w:val="center"/>
          </w:tcPr>
          <w:p w14:paraId="01BCC5A9" w14:textId="77777777" w:rsidR="00A97FA7" w:rsidRDefault="00A97FA7" w:rsidP="00A953C1">
            <w:pPr>
              <w:pStyle w:val="Nessunaspaziatura"/>
            </w:pPr>
            <w:r>
              <w:t>VEE</w:t>
            </w:r>
          </w:p>
        </w:tc>
        <w:tc>
          <w:tcPr>
            <w:tcW w:w="1417" w:type="dxa"/>
            <w:vAlign w:val="center"/>
          </w:tcPr>
          <w:p w14:paraId="52229C57" w14:textId="77777777" w:rsidR="00A97FA7" w:rsidRDefault="00A97FA7" w:rsidP="00A953C1">
            <w:pPr>
              <w:pStyle w:val="Nessunaspaziatura"/>
            </w:pPr>
            <w:r>
              <w:t xml:space="preserve">Vimercati </w:t>
            </w:r>
          </w:p>
        </w:tc>
        <w:tc>
          <w:tcPr>
            <w:tcW w:w="2977" w:type="dxa"/>
          </w:tcPr>
          <w:p w14:paraId="14D4A0E8" w14:textId="67A9F9AA" w:rsidR="00A97FA7" w:rsidRDefault="00A97FA7" w:rsidP="009D5BFE">
            <w:pPr>
              <w:pStyle w:val="Nessunaspaziatura"/>
            </w:pPr>
            <w:r w:rsidRPr="00CA78B5">
              <w:rPr>
                <w:rFonts w:cs="Tahoma"/>
                <w:color w:val="000000"/>
                <w:sz w:val="18"/>
                <w:szCs w:val="18"/>
                <w:lang w:eastAsia="it-IT"/>
              </w:rPr>
              <w:t>Fatturazione a seguito di ordine di acquisto</w:t>
            </w:r>
            <w:r>
              <w:rPr>
                <w:rFonts w:cs="Tahoma"/>
                <w:color w:val="000000"/>
                <w:sz w:val="18"/>
                <w:szCs w:val="18"/>
                <w:lang w:eastAsia="it-IT"/>
              </w:rPr>
              <w:t>.</w:t>
            </w:r>
          </w:p>
        </w:tc>
        <w:tc>
          <w:tcPr>
            <w:tcW w:w="1418" w:type="dxa"/>
            <w:vAlign w:val="center"/>
          </w:tcPr>
          <w:p w14:paraId="3C2D9BF4" w14:textId="24B08FCB" w:rsidR="00A97FA7" w:rsidRDefault="00FA0682" w:rsidP="00A953C1">
            <w:pPr>
              <w:pStyle w:val="Nessunaspaziatura"/>
              <w:jc w:val="right"/>
            </w:pPr>
            <w:r>
              <w:t>31.481.911</w:t>
            </w:r>
          </w:p>
        </w:tc>
      </w:tr>
      <w:tr w:rsidR="00A97FA7" w14:paraId="03675908" w14:textId="00C27441" w:rsidTr="00A97FA7">
        <w:tc>
          <w:tcPr>
            <w:tcW w:w="450" w:type="dxa"/>
            <w:vMerge w:val="restart"/>
            <w:vAlign w:val="center"/>
          </w:tcPr>
          <w:p w14:paraId="61D01812" w14:textId="0E15FC96" w:rsidR="00A97FA7" w:rsidRDefault="00A97FA7" w:rsidP="00A953C1">
            <w:pPr>
              <w:pStyle w:val="Nessunaspaziatura"/>
              <w:rPr>
                <w:b/>
              </w:rPr>
            </w:pPr>
            <w:r>
              <w:rPr>
                <w:b/>
              </w:rPr>
              <w:t>T</w:t>
            </w:r>
            <w:r w:rsidR="00FA0682">
              <w:rPr>
                <w:b/>
              </w:rPr>
              <w:t>2</w:t>
            </w:r>
          </w:p>
        </w:tc>
        <w:tc>
          <w:tcPr>
            <w:tcW w:w="1388" w:type="dxa"/>
            <w:vAlign w:val="center"/>
          </w:tcPr>
          <w:p w14:paraId="07384DBF" w14:textId="5EAB1943" w:rsidR="00A97FA7" w:rsidRPr="00610F1F" w:rsidRDefault="00A97FA7" w:rsidP="00A953C1">
            <w:pPr>
              <w:pStyle w:val="Nessunaspaziatura"/>
              <w:rPr>
                <w:b/>
              </w:rPr>
            </w:pPr>
            <w:r>
              <w:rPr>
                <w:b/>
              </w:rPr>
              <w:t>Cessioni di componenti</w:t>
            </w:r>
            <w:r>
              <w:rPr>
                <w:rStyle w:val="Rimandonotaapidipagina"/>
              </w:rPr>
              <w:footnoteReference w:id="1"/>
            </w:r>
          </w:p>
        </w:tc>
        <w:tc>
          <w:tcPr>
            <w:tcW w:w="1276" w:type="dxa"/>
            <w:vAlign w:val="center"/>
          </w:tcPr>
          <w:p w14:paraId="160B5EBF" w14:textId="77777777" w:rsidR="00A97FA7" w:rsidRDefault="00A97FA7" w:rsidP="00A953C1">
            <w:pPr>
              <w:pStyle w:val="Nessunaspaziatura"/>
            </w:pPr>
            <w:r>
              <w:t xml:space="preserve">Vimercati </w:t>
            </w:r>
          </w:p>
        </w:tc>
        <w:tc>
          <w:tcPr>
            <w:tcW w:w="1417" w:type="dxa"/>
            <w:vAlign w:val="center"/>
          </w:tcPr>
          <w:p w14:paraId="73E882D6" w14:textId="77777777" w:rsidR="00A97FA7" w:rsidRDefault="00A97FA7" w:rsidP="00A953C1">
            <w:pPr>
              <w:pStyle w:val="Nessunaspaziatura"/>
            </w:pPr>
            <w:r>
              <w:t>VEE</w:t>
            </w:r>
          </w:p>
        </w:tc>
        <w:tc>
          <w:tcPr>
            <w:tcW w:w="2977" w:type="dxa"/>
            <w:vAlign w:val="center"/>
          </w:tcPr>
          <w:p w14:paraId="392AA256" w14:textId="77777777" w:rsidR="00A97FA7" w:rsidRPr="00A404CC" w:rsidRDefault="00A97FA7" w:rsidP="00754476">
            <w:pPr>
              <w:pStyle w:val="Nessunaspaziatura"/>
              <w:rPr>
                <w:rFonts w:cs="Tahoma"/>
                <w:color w:val="000000"/>
                <w:sz w:val="18"/>
                <w:szCs w:val="18"/>
                <w:lang w:eastAsia="it-IT"/>
              </w:rPr>
            </w:pPr>
            <w:r w:rsidRPr="00A404CC">
              <w:rPr>
                <w:rFonts w:cs="Tahoma"/>
                <w:color w:val="000000"/>
                <w:sz w:val="18"/>
                <w:szCs w:val="18"/>
                <w:lang w:eastAsia="it-IT"/>
              </w:rPr>
              <w:t>L'ordine di acquisto da parte di VEE avviene secondo le sue specifiche esigenze in base ad un proprio sistema di pianificazione.</w:t>
            </w:r>
          </w:p>
          <w:p w14:paraId="39F05204" w14:textId="33A28E04" w:rsidR="00A97FA7" w:rsidRDefault="00A97FA7" w:rsidP="00754476">
            <w:pPr>
              <w:pStyle w:val="Nessunaspaziatura"/>
            </w:pPr>
            <w:r w:rsidRPr="00A404CC">
              <w:rPr>
                <w:rFonts w:cs="Tahoma"/>
                <w:color w:val="000000"/>
                <w:sz w:val="18"/>
                <w:szCs w:val="18"/>
                <w:lang w:eastAsia="it-IT"/>
              </w:rPr>
              <w:t>Vimercati consegna i componenti pressoché settimanalmente ed emette fattura contestualmente all'invio.</w:t>
            </w:r>
          </w:p>
        </w:tc>
        <w:tc>
          <w:tcPr>
            <w:tcW w:w="1418" w:type="dxa"/>
            <w:vAlign w:val="center"/>
          </w:tcPr>
          <w:p w14:paraId="53872A1C" w14:textId="2724EBB4" w:rsidR="00A97FA7" w:rsidRDefault="00D237B9" w:rsidP="006E02CB">
            <w:pPr>
              <w:pStyle w:val="Nessunaspaziatura"/>
              <w:jc w:val="right"/>
            </w:pPr>
            <w:r w:rsidRPr="00D237B9">
              <w:t>32.472.236</w:t>
            </w:r>
          </w:p>
        </w:tc>
      </w:tr>
      <w:tr w:rsidR="00A97FA7" w14:paraId="3BD0F0FF" w14:textId="7C59B8FF" w:rsidTr="00A97FA7">
        <w:tc>
          <w:tcPr>
            <w:tcW w:w="450" w:type="dxa"/>
            <w:vMerge/>
          </w:tcPr>
          <w:p w14:paraId="2ECF27C1" w14:textId="77777777" w:rsidR="00A97FA7" w:rsidRDefault="00A97FA7" w:rsidP="00A953C1">
            <w:pPr>
              <w:pStyle w:val="Nessunaspaziatura"/>
              <w:rPr>
                <w:b/>
              </w:rPr>
            </w:pPr>
          </w:p>
        </w:tc>
        <w:tc>
          <w:tcPr>
            <w:tcW w:w="1388" w:type="dxa"/>
            <w:vAlign w:val="center"/>
          </w:tcPr>
          <w:p w14:paraId="5C34D228" w14:textId="77777777" w:rsidR="00A97FA7" w:rsidRPr="00610F1F" w:rsidRDefault="00A97FA7" w:rsidP="00A953C1">
            <w:pPr>
              <w:pStyle w:val="Nessunaspaziatura"/>
              <w:rPr>
                <w:b/>
              </w:rPr>
            </w:pPr>
            <w:r>
              <w:rPr>
                <w:b/>
              </w:rPr>
              <w:t>Servizi funzionali</w:t>
            </w:r>
          </w:p>
        </w:tc>
        <w:tc>
          <w:tcPr>
            <w:tcW w:w="1276" w:type="dxa"/>
            <w:vAlign w:val="center"/>
          </w:tcPr>
          <w:p w14:paraId="716F2776" w14:textId="77777777" w:rsidR="00A97FA7" w:rsidRDefault="00A97FA7" w:rsidP="00A953C1">
            <w:pPr>
              <w:pStyle w:val="Nessunaspaziatura"/>
            </w:pPr>
            <w:r>
              <w:t xml:space="preserve">Vimercati </w:t>
            </w:r>
          </w:p>
        </w:tc>
        <w:tc>
          <w:tcPr>
            <w:tcW w:w="1417" w:type="dxa"/>
            <w:vAlign w:val="center"/>
          </w:tcPr>
          <w:p w14:paraId="3D0BCD2E" w14:textId="77777777" w:rsidR="00A97FA7" w:rsidRDefault="00A97FA7" w:rsidP="00A953C1">
            <w:pPr>
              <w:pStyle w:val="Nessunaspaziatura"/>
            </w:pPr>
            <w:r>
              <w:t>VEE</w:t>
            </w:r>
          </w:p>
        </w:tc>
        <w:tc>
          <w:tcPr>
            <w:tcW w:w="2977" w:type="dxa"/>
          </w:tcPr>
          <w:p w14:paraId="08CB2CFD" w14:textId="4CD570A6" w:rsidR="00A97FA7" w:rsidRDefault="00A97FA7" w:rsidP="00754476">
            <w:pPr>
              <w:pStyle w:val="Nessunaspaziatura"/>
            </w:pPr>
            <w:r>
              <w:rPr>
                <w:rFonts w:eastAsia="Calibri" w:cs="Tahoma"/>
                <w:color w:val="000000"/>
                <w:sz w:val="18"/>
                <w:szCs w:val="18"/>
                <w:lang w:eastAsia="it-IT"/>
              </w:rPr>
              <w:t>Mensile, al termine di ogni mese sulla base delle risultanze contabili relative al mese precedente.</w:t>
            </w:r>
          </w:p>
        </w:tc>
        <w:tc>
          <w:tcPr>
            <w:tcW w:w="1418" w:type="dxa"/>
            <w:vAlign w:val="center"/>
          </w:tcPr>
          <w:p w14:paraId="7589A020" w14:textId="7D3509AE" w:rsidR="00A97FA7" w:rsidRDefault="00A97FA7" w:rsidP="009F5FC7">
            <w:pPr>
              <w:pStyle w:val="Nessunaspaziatura"/>
              <w:jc w:val="right"/>
            </w:pPr>
            <w:r>
              <w:t xml:space="preserve"> </w:t>
            </w:r>
            <w:r w:rsidR="00D237B9" w:rsidRPr="00D237B9">
              <w:t>3.730.937</w:t>
            </w:r>
          </w:p>
        </w:tc>
      </w:tr>
      <w:tr w:rsidR="00A97FA7" w14:paraId="0D27E4CE" w14:textId="3FCA0C32" w:rsidTr="00A97FA7">
        <w:tc>
          <w:tcPr>
            <w:tcW w:w="450" w:type="dxa"/>
            <w:vMerge/>
          </w:tcPr>
          <w:p w14:paraId="59BA4CC3" w14:textId="77777777" w:rsidR="00A97FA7" w:rsidRDefault="00A97FA7" w:rsidP="00A953C1">
            <w:pPr>
              <w:pStyle w:val="Nessunaspaziatura"/>
              <w:rPr>
                <w:b/>
              </w:rPr>
            </w:pPr>
          </w:p>
        </w:tc>
        <w:tc>
          <w:tcPr>
            <w:tcW w:w="1388" w:type="dxa"/>
            <w:vAlign w:val="center"/>
          </w:tcPr>
          <w:p w14:paraId="5B1FC4C8" w14:textId="77777777" w:rsidR="00A97FA7" w:rsidRPr="00610F1F" w:rsidRDefault="00A97FA7" w:rsidP="00A953C1">
            <w:pPr>
              <w:pStyle w:val="Nessunaspaziatura"/>
              <w:rPr>
                <w:b/>
              </w:rPr>
            </w:pPr>
            <w:r>
              <w:rPr>
                <w:b/>
              </w:rPr>
              <w:t>Locazione di macchinari e stampi</w:t>
            </w:r>
          </w:p>
        </w:tc>
        <w:tc>
          <w:tcPr>
            <w:tcW w:w="1276" w:type="dxa"/>
            <w:vAlign w:val="center"/>
          </w:tcPr>
          <w:p w14:paraId="6CCD14BB" w14:textId="77777777" w:rsidR="00A97FA7" w:rsidRDefault="00A97FA7" w:rsidP="00A953C1">
            <w:pPr>
              <w:pStyle w:val="Nessunaspaziatura"/>
            </w:pPr>
            <w:r>
              <w:t xml:space="preserve">Vimercati </w:t>
            </w:r>
          </w:p>
        </w:tc>
        <w:tc>
          <w:tcPr>
            <w:tcW w:w="1417" w:type="dxa"/>
            <w:vAlign w:val="center"/>
          </w:tcPr>
          <w:p w14:paraId="4C9E00D0" w14:textId="77777777" w:rsidR="00A97FA7" w:rsidRDefault="00A97FA7" w:rsidP="00A953C1">
            <w:pPr>
              <w:pStyle w:val="Nessunaspaziatura"/>
            </w:pPr>
            <w:r>
              <w:t>VEE</w:t>
            </w:r>
          </w:p>
        </w:tc>
        <w:tc>
          <w:tcPr>
            <w:tcW w:w="2977" w:type="dxa"/>
          </w:tcPr>
          <w:p w14:paraId="64921A9B" w14:textId="65663F9E" w:rsidR="00A97FA7" w:rsidRDefault="00A97FA7" w:rsidP="00754476">
            <w:pPr>
              <w:pStyle w:val="Nessunaspaziatura"/>
            </w:pPr>
            <w:r>
              <w:rPr>
                <w:rFonts w:eastAsia="Calibri" w:cs="Tahoma"/>
                <w:color w:val="000000"/>
                <w:sz w:val="18"/>
                <w:szCs w:val="18"/>
                <w:lang w:eastAsia="it-IT"/>
              </w:rPr>
              <w:t>Mensile, per un importo pari a un dodicesimo del corrispettivo annuo</w:t>
            </w:r>
          </w:p>
        </w:tc>
        <w:tc>
          <w:tcPr>
            <w:tcW w:w="1418" w:type="dxa"/>
            <w:vAlign w:val="center"/>
          </w:tcPr>
          <w:p w14:paraId="54138D7D" w14:textId="7A6943EB" w:rsidR="00A97FA7" w:rsidRDefault="00A97FA7" w:rsidP="00FA0682">
            <w:pPr>
              <w:pStyle w:val="Nessunaspaziatura"/>
              <w:jc w:val="right"/>
            </w:pPr>
            <w:r>
              <w:t xml:space="preserve"> </w:t>
            </w:r>
            <w:r w:rsidR="00D237B9" w:rsidRPr="00D237B9">
              <w:t xml:space="preserve"> 525.000</w:t>
            </w:r>
          </w:p>
        </w:tc>
      </w:tr>
      <w:tr w:rsidR="00D237B9" w14:paraId="6393ABD2" w14:textId="2A178683" w:rsidTr="00BF16E4">
        <w:tc>
          <w:tcPr>
            <w:tcW w:w="450" w:type="dxa"/>
            <w:vMerge/>
          </w:tcPr>
          <w:p w14:paraId="4E8177FF" w14:textId="77777777" w:rsidR="00D237B9" w:rsidRDefault="00D237B9" w:rsidP="00D237B9">
            <w:pPr>
              <w:pStyle w:val="Nessunaspaziatura"/>
              <w:rPr>
                <w:b/>
              </w:rPr>
            </w:pPr>
          </w:p>
        </w:tc>
        <w:tc>
          <w:tcPr>
            <w:tcW w:w="1388" w:type="dxa"/>
            <w:vAlign w:val="center"/>
          </w:tcPr>
          <w:p w14:paraId="57E53E36" w14:textId="77777777" w:rsidR="00D237B9" w:rsidRPr="00610F1F" w:rsidRDefault="00D237B9" w:rsidP="00D237B9">
            <w:pPr>
              <w:pStyle w:val="Nessunaspaziatura"/>
              <w:rPr>
                <w:b/>
              </w:rPr>
            </w:pPr>
            <w:r>
              <w:rPr>
                <w:b/>
              </w:rPr>
              <w:t xml:space="preserve">Licenza di produzione e </w:t>
            </w:r>
            <w:r w:rsidRPr="00610F1F">
              <w:rPr>
                <w:b/>
                <w:i/>
              </w:rPr>
              <w:t>know-how</w:t>
            </w:r>
          </w:p>
        </w:tc>
        <w:tc>
          <w:tcPr>
            <w:tcW w:w="1276" w:type="dxa"/>
            <w:vAlign w:val="center"/>
          </w:tcPr>
          <w:p w14:paraId="10908FE3" w14:textId="77777777" w:rsidR="00D237B9" w:rsidRDefault="00D237B9" w:rsidP="00D237B9">
            <w:pPr>
              <w:pStyle w:val="Nessunaspaziatura"/>
            </w:pPr>
            <w:r>
              <w:t xml:space="preserve">Vimercati </w:t>
            </w:r>
          </w:p>
        </w:tc>
        <w:tc>
          <w:tcPr>
            <w:tcW w:w="1417" w:type="dxa"/>
            <w:vAlign w:val="center"/>
          </w:tcPr>
          <w:p w14:paraId="56699118" w14:textId="77777777" w:rsidR="00D237B9" w:rsidRDefault="00D237B9" w:rsidP="00D237B9">
            <w:pPr>
              <w:pStyle w:val="Nessunaspaziatura"/>
            </w:pPr>
            <w:r>
              <w:t>VEE</w:t>
            </w:r>
          </w:p>
        </w:tc>
        <w:tc>
          <w:tcPr>
            <w:tcW w:w="2977" w:type="dxa"/>
            <w:vAlign w:val="center"/>
          </w:tcPr>
          <w:p w14:paraId="2AF01AFD" w14:textId="4BB174DC" w:rsidR="00D237B9" w:rsidRDefault="00D237B9" w:rsidP="00D237B9">
            <w:pPr>
              <w:pStyle w:val="Nessunaspaziatura"/>
            </w:pPr>
            <w:r>
              <w:rPr>
                <w:rFonts w:eastAsia="Calibri" w:cs="Tahoma"/>
                <w:color w:val="000000"/>
                <w:sz w:val="18"/>
                <w:szCs w:val="18"/>
                <w:lang w:eastAsia="it-IT"/>
              </w:rPr>
              <w:t>Mensile, per un importo pari a un dodicesimo del corrispettivo annuo.</w:t>
            </w:r>
          </w:p>
        </w:tc>
        <w:tc>
          <w:tcPr>
            <w:tcW w:w="1418" w:type="dxa"/>
            <w:vAlign w:val="center"/>
          </w:tcPr>
          <w:p w14:paraId="58482A82" w14:textId="29F0E22C" w:rsidR="00D237B9" w:rsidRDefault="00D237B9" w:rsidP="00D237B9">
            <w:pPr>
              <w:pStyle w:val="Nessunaspaziatura"/>
              <w:jc w:val="right"/>
            </w:pPr>
            <w:r w:rsidRPr="00B76335">
              <w:t xml:space="preserve">301.140 </w:t>
            </w:r>
          </w:p>
        </w:tc>
      </w:tr>
      <w:tr w:rsidR="00D237B9" w14:paraId="74072E01" w14:textId="2AC92732" w:rsidTr="00BF16E4">
        <w:tc>
          <w:tcPr>
            <w:tcW w:w="450" w:type="dxa"/>
            <w:vAlign w:val="center"/>
          </w:tcPr>
          <w:p w14:paraId="33337507" w14:textId="4F148454" w:rsidR="00D237B9" w:rsidRPr="00610F1F" w:rsidRDefault="00D237B9" w:rsidP="00D237B9">
            <w:pPr>
              <w:pStyle w:val="Nessunaspaziatura"/>
              <w:rPr>
                <w:b/>
              </w:rPr>
            </w:pPr>
            <w:r>
              <w:rPr>
                <w:b/>
              </w:rPr>
              <w:t>T3</w:t>
            </w:r>
          </w:p>
        </w:tc>
        <w:tc>
          <w:tcPr>
            <w:tcW w:w="1388" w:type="dxa"/>
            <w:vAlign w:val="center"/>
          </w:tcPr>
          <w:p w14:paraId="581D49EF" w14:textId="77777777" w:rsidR="00D237B9" w:rsidRPr="00610F1F" w:rsidRDefault="00D237B9" w:rsidP="00D237B9">
            <w:pPr>
              <w:pStyle w:val="Nessunaspaziatura"/>
              <w:rPr>
                <w:b/>
              </w:rPr>
            </w:pPr>
            <w:r>
              <w:rPr>
                <w:b/>
              </w:rPr>
              <w:t>Componenti</w:t>
            </w:r>
          </w:p>
        </w:tc>
        <w:tc>
          <w:tcPr>
            <w:tcW w:w="1276" w:type="dxa"/>
            <w:vAlign w:val="center"/>
          </w:tcPr>
          <w:p w14:paraId="76AA3F18" w14:textId="77777777" w:rsidR="00D237B9" w:rsidRDefault="00D237B9" w:rsidP="00D237B9">
            <w:pPr>
              <w:pStyle w:val="Nessunaspaziatura"/>
            </w:pPr>
            <w:proofErr w:type="spellStart"/>
            <w:r>
              <w:t>Viney</w:t>
            </w:r>
            <w:proofErr w:type="spellEnd"/>
          </w:p>
        </w:tc>
        <w:tc>
          <w:tcPr>
            <w:tcW w:w="1417" w:type="dxa"/>
            <w:vAlign w:val="center"/>
          </w:tcPr>
          <w:p w14:paraId="4523B0D4" w14:textId="77777777" w:rsidR="00D237B9" w:rsidRDefault="00D237B9" w:rsidP="00D237B9">
            <w:pPr>
              <w:pStyle w:val="Nessunaspaziatura"/>
            </w:pPr>
            <w:r>
              <w:t xml:space="preserve">Vimercati </w:t>
            </w:r>
          </w:p>
        </w:tc>
        <w:tc>
          <w:tcPr>
            <w:tcW w:w="2977" w:type="dxa"/>
            <w:vAlign w:val="center"/>
          </w:tcPr>
          <w:p w14:paraId="054383C5" w14:textId="5233B62B" w:rsidR="00D237B9" w:rsidRDefault="00D237B9" w:rsidP="00D237B9">
            <w:pPr>
              <w:pStyle w:val="Nessunaspaziatura"/>
            </w:pPr>
          </w:p>
        </w:tc>
        <w:tc>
          <w:tcPr>
            <w:tcW w:w="1418" w:type="dxa"/>
            <w:vAlign w:val="center"/>
          </w:tcPr>
          <w:p w14:paraId="0A22CC60" w14:textId="5E964D43" w:rsidR="00D237B9" w:rsidRDefault="00D237B9" w:rsidP="00683F51">
            <w:pPr>
              <w:pStyle w:val="Nessunaspaziatura"/>
              <w:jc w:val="right"/>
            </w:pPr>
            <w:r w:rsidRPr="00B76335">
              <w:t>2.869.953</w:t>
            </w:r>
          </w:p>
        </w:tc>
      </w:tr>
    </w:tbl>
    <w:p w14:paraId="4364E996" w14:textId="77777777" w:rsidR="00F16613" w:rsidRDefault="00F16613"/>
    <w:tbl>
      <w:tblPr>
        <w:tblStyle w:val="Grigliatabella"/>
        <w:tblW w:w="5000" w:type="pct"/>
        <w:tblLook w:val="04A0" w:firstRow="1" w:lastRow="0" w:firstColumn="1" w:lastColumn="0" w:noHBand="0" w:noVBand="1"/>
      </w:tblPr>
      <w:tblGrid>
        <w:gridCol w:w="2123"/>
        <w:gridCol w:w="1983"/>
        <w:gridCol w:w="2711"/>
        <w:gridCol w:w="2131"/>
      </w:tblGrid>
      <w:tr w:rsidR="009F5FC7" w14:paraId="2C83E740" w14:textId="29A02A83" w:rsidTr="009F5FC7">
        <w:trPr>
          <w:trHeight w:val="475"/>
          <w:tblHeader/>
        </w:trPr>
        <w:tc>
          <w:tcPr>
            <w:tcW w:w="1186" w:type="pct"/>
            <w:shd w:val="clear" w:color="auto" w:fill="00338D"/>
            <w:vAlign w:val="center"/>
          </w:tcPr>
          <w:p w14:paraId="527CBFDE" w14:textId="77777777" w:rsidR="009F5FC7" w:rsidRPr="00610F1F" w:rsidRDefault="009F5FC7" w:rsidP="00A953C1">
            <w:pPr>
              <w:pStyle w:val="Nessunaspaziatura"/>
              <w:rPr>
                <w:b/>
                <w:color w:val="FFFFFF" w:themeColor="background1"/>
              </w:rPr>
            </w:pPr>
            <w:r>
              <w:rPr>
                <w:b/>
                <w:color w:val="FFFFFF" w:themeColor="background1"/>
              </w:rPr>
              <w:t>Transazioni residuali</w:t>
            </w:r>
          </w:p>
        </w:tc>
        <w:tc>
          <w:tcPr>
            <w:tcW w:w="1108" w:type="pct"/>
            <w:shd w:val="clear" w:color="auto" w:fill="00338D"/>
            <w:vAlign w:val="center"/>
          </w:tcPr>
          <w:p w14:paraId="16D989E2" w14:textId="77777777" w:rsidR="009F5FC7" w:rsidRPr="00610F1F" w:rsidRDefault="009F5FC7" w:rsidP="00A953C1">
            <w:pPr>
              <w:pStyle w:val="Nessunaspaziatura"/>
              <w:rPr>
                <w:b/>
                <w:color w:val="FFFFFF" w:themeColor="background1"/>
              </w:rPr>
            </w:pPr>
            <w:r>
              <w:rPr>
                <w:b/>
                <w:color w:val="FFFFFF" w:themeColor="background1"/>
              </w:rPr>
              <w:t>Cedente / Prestatore</w:t>
            </w:r>
          </w:p>
        </w:tc>
        <w:tc>
          <w:tcPr>
            <w:tcW w:w="1515" w:type="pct"/>
            <w:shd w:val="clear" w:color="auto" w:fill="00338D"/>
            <w:vAlign w:val="center"/>
          </w:tcPr>
          <w:p w14:paraId="2745D4C6" w14:textId="77777777" w:rsidR="009F5FC7" w:rsidRPr="00610F1F" w:rsidRDefault="009F5FC7" w:rsidP="00A953C1">
            <w:pPr>
              <w:pStyle w:val="Nessunaspaziatura"/>
              <w:rPr>
                <w:b/>
                <w:color w:val="FFFFFF" w:themeColor="background1"/>
              </w:rPr>
            </w:pPr>
            <w:r>
              <w:rPr>
                <w:b/>
                <w:color w:val="FFFFFF" w:themeColor="background1"/>
              </w:rPr>
              <w:t>Cessionario / Beneficiario</w:t>
            </w:r>
          </w:p>
        </w:tc>
        <w:tc>
          <w:tcPr>
            <w:tcW w:w="1191" w:type="pct"/>
            <w:shd w:val="clear" w:color="auto" w:fill="00338D"/>
            <w:vAlign w:val="center"/>
          </w:tcPr>
          <w:p w14:paraId="577E8A13" w14:textId="77777777" w:rsidR="009F5FC7" w:rsidRPr="00610F1F" w:rsidRDefault="009F5FC7" w:rsidP="00A953C1">
            <w:pPr>
              <w:pStyle w:val="Nessunaspaziatura"/>
              <w:jc w:val="right"/>
              <w:rPr>
                <w:b/>
                <w:color w:val="FFFFFF" w:themeColor="background1"/>
              </w:rPr>
            </w:pPr>
            <w:r>
              <w:rPr>
                <w:b/>
                <w:color w:val="FFFFFF" w:themeColor="background1"/>
              </w:rPr>
              <w:t>Importo (€)</w:t>
            </w:r>
          </w:p>
        </w:tc>
      </w:tr>
      <w:tr w:rsidR="009F5FC7" w:rsidRPr="00005149" w14:paraId="6BD36B33" w14:textId="077FA0B9" w:rsidTr="009F5FC7">
        <w:tc>
          <w:tcPr>
            <w:tcW w:w="1186" w:type="pct"/>
            <w:vMerge w:val="restart"/>
            <w:vAlign w:val="center"/>
          </w:tcPr>
          <w:p w14:paraId="5B4B4EC0" w14:textId="47553DEE" w:rsidR="009F5FC7" w:rsidRPr="009F5FC7" w:rsidRDefault="009F5FC7" w:rsidP="00A953C1">
            <w:pPr>
              <w:pStyle w:val="Nessunaspaziatura"/>
              <w:rPr>
                <w:b/>
              </w:rPr>
            </w:pPr>
            <w:r>
              <w:rPr>
                <w:b/>
              </w:rPr>
              <w:t>Materiali vari</w:t>
            </w:r>
          </w:p>
        </w:tc>
        <w:tc>
          <w:tcPr>
            <w:tcW w:w="1108" w:type="pct"/>
            <w:vAlign w:val="center"/>
          </w:tcPr>
          <w:p w14:paraId="7319070B" w14:textId="77777777" w:rsidR="009F5FC7" w:rsidRPr="00005149" w:rsidRDefault="009F5FC7" w:rsidP="00F16613">
            <w:pPr>
              <w:pStyle w:val="Nessunaspaziatura"/>
              <w:rPr>
                <w:sz w:val="22"/>
              </w:rPr>
            </w:pPr>
            <w:r>
              <w:t xml:space="preserve">Vimercati </w:t>
            </w:r>
          </w:p>
        </w:tc>
        <w:tc>
          <w:tcPr>
            <w:tcW w:w="1515" w:type="pct"/>
            <w:vAlign w:val="center"/>
          </w:tcPr>
          <w:p w14:paraId="2E7D3C09" w14:textId="537B7C85" w:rsidR="009F5FC7" w:rsidRPr="00005149" w:rsidRDefault="009F5FC7" w:rsidP="00F16613">
            <w:pPr>
              <w:pStyle w:val="Nessunaspaziatura"/>
              <w:rPr>
                <w:sz w:val="22"/>
              </w:rPr>
            </w:pPr>
            <w:proofErr w:type="spellStart"/>
            <w:r>
              <w:t>Viney</w:t>
            </w:r>
            <w:proofErr w:type="spellEnd"/>
            <w:r>
              <w:t xml:space="preserve"> </w:t>
            </w:r>
          </w:p>
        </w:tc>
        <w:tc>
          <w:tcPr>
            <w:tcW w:w="1191" w:type="pct"/>
            <w:vAlign w:val="center"/>
          </w:tcPr>
          <w:p w14:paraId="3F8EFED8" w14:textId="471EFF45" w:rsidR="009F5FC7" w:rsidRPr="00005149" w:rsidRDefault="00D237B9" w:rsidP="00F16613">
            <w:pPr>
              <w:pStyle w:val="Nessunaspaziatura"/>
              <w:jc w:val="right"/>
              <w:rPr>
                <w:sz w:val="22"/>
              </w:rPr>
            </w:pPr>
            <w:r>
              <w:t>687.000</w:t>
            </w:r>
          </w:p>
        </w:tc>
      </w:tr>
      <w:tr w:rsidR="009F5FC7" w:rsidRPr="00005149" w14:paraId="488CEE67" w14:textId="76412697" w:rsidTr="009F5FC7">
        <w:tc>
          <w:tcPr>
            <w:tcW w:w="1186" w:type="pct"/>
            <w:vMerge/>
            <w:vAlign w:val="center"/>
          </w:tcPr>
          <w:p w14:paraId="28C46F5A" w14:textId="77777777" w:rsidR="009F5FC7" w:rsidRPr="00005149" w:rsidRDefault="009F5FC7" w:rsidP="00A953C1">
            <w:pPr>
              <w:pStyle w:val="Nessunaspaziatura"/>
              <w:rPr>
                <w:b/>
                <w:sz w:val="22"/>
              </w:rPr>
            </w:pPr>
          </w:p>
        </w:tc>
        <w:tc>
          <w:tcPr>
            <w:tcW w:w="1108" w:type="pct"/>
            <w:vAlign w:val="center"/>
          </w:tcPr>
          <w:p w14:paraId="12F091DC" w14:textId="77777777" w:rsidR="009F5FC7" w:rsidRPr="00005149" w:rsidRDefault="009F5FC7" w:rsidP="00F16613">
            <w:pPr>
              <w:pStyle w:val="Nessunaspaziatura"/>
              <w:rPr>
                <w:sz w:val="22"/>
              </w:rPr>
            </w:pPr>
            <w:r>
              <w:t xml:space="preserve">Vimercati </w:t>
            </w:r>
          </w:p>
        </w:tc>
        <w:tc>
          <w:tcPr>
            <w:tcW w:w="1515" w:type="pct"/>
            <w:vAlign w:val="center"/>
          </w:tcPr>
          <w:p w14:paraId="6D4018FD" w14:textId="2FB614AE" w:rsidR="009F5FC7" w:rsidRPr="00005149" w:rsidRDefault="009F5FC7" w:rsidP="00F16613">
            <w:pPr>
              <w:pStyle w:val="Nessunaspaziatura"/>
              <w:rPr>
                <w:sz w:val="22"/>
                <w:lang w:val="en-US"/>
              </w:rPr>
            </w:pPr>
            <w:proofErr w:type="spellStart"/>
            <w:r>
              <w:rPr>
                <w:lang w:val="en-US"/>
              </w:rPr>
              <w:t>Viney</w:t>
            </w:r>
            <w:proofErr w:type="spellEnd"/>
            <w:r>
              <w:rPr>
                <w:lang w:val="en-US"/>
              </w:rPr>
              <w:t xml:space="preserve"> Corporation East Europe S.r.l.</w:t>
            </w:r>
          </w:p>
        </w:tc>
        <w:tc>
          <w:tcPr>
            <w:tcW w:w="1191" w:type="pct"/>
            <w:vAlign w:val="center"/>
          </w:tcPr>
          <w:p w14:paraId="0A1AFDF2" w14:textId="60D3603E" w:rsidR="009F5FC7" w:rsidRPr="00005149" w:rsidRDefault="00D237B9" w:rsidP="009F5FC7">
            <w:pPr>
              <w:pStyle w:val="Nessunaspaziatura"/>
              <w:jc w:val="right"/>
              <w:rPr>
                <w:sz w:val="22"/>
              </w:rPr>
            </w:pPr>
            <w:r>
              <w:t>437</w:t>
            </w:r>
            <w:r w:rsidR="009F5FC7" w:rsidRPr="009F5FC7">
              <w:t>.</w:t>
            </w:r>
            <w:r>
              <w:t>000</w:t>
            </w:r>
            <w:r w:rsidR="009F5FC7" w:rsidRPr="009F5FC7">
              <w:t xml:space="preserve"> </w:t>
            </w:r>
          </w:p>
        </w:tc>
      </w:tr>
      <w:tr w:rsidR="00D237B9" w:rsidRPr="00005149" w14:paraId="4E5FB5B1" w14:textId="77777777" w:rsidTr="009F5FC7">
        <w:tc>
          <w:tcPr>
            <w:tcW w:w="1186" w:type="pct"/>
            <w:vMerge/>
            <w:vAlign w:val="center"/>
          </w:tcPr>
          <w:p w14:paraId="02AEDE71" w14:textId="77777777" w:rsidR="00D237B9" w:rsidRPr="00005149" w:rsidRDefault="00D237B9" w:rsidP="00A953C1">
            <w:pPr>
              <w:pStyle w:val="Nessunaspaziatura"/>
              <w:rPr>
                <w:b/>
                <w:sz w:val="22"/>
              </w:rPr>
            </w:pPr>
          </w:p>
        </w:tc>
        <w:tc>
          <w:tcPr>
            <w:tcW w:w="1108" w:type="pct"/>
            <w:vAlign w:val="center"/>
          </w:tcPr>
          <w:p w14:paraId="099846BB" w14:textId="56F0F0C8" w:rsidR="00D237B9" w:rsidRDefault="00D237B9" w:rsidP="00F16613">
            <w:pPr>
              <w:pStyle w:val="Nessunaspaziatura"/>
            </w:pPr>
            <w:r>
              <w:t>Vimercati</w:t>
            </w:r>
          </w:p>
        </w:tc>
        <w:tc>
          <w:tcPr>
            <w:tcW w:w="1515" w:type="pct"/>
            <w:vAlign w:val="center"/>
          </w:tcPr>
          <w:p w14:paraId="31DE37D2" w14:textId="6023A193" w:rsidR="00D237B9" w:rsidRPr="00683F51" w:rsidRDefault="00D237B9" w:rsidP="00F16613">
            <w:pPr>
              <w:pStyle w:val="Nessunaspaziatura"/>
            </w:pPr>
            <w:r w:rsidRPr="00683F51">
              <w:t>Vimercati East Europe S.r.l.</w:t>
            </w:r>
          </w:p>
        </w:tc>
        <w:tc>
          <w:tcPr>
            <w:tcW w:w="1191" w:type="pct"/>
            <w:vAlign w:val="center"/>
          </w:tcPr>
          <w:p w14:paraId="3510537D" w14:textId="41F40317" w:rsidR="00D237B9" w:rsidRDefault="00D237B9" w:rsidP="009F5FC7">
            <w:pPr>
              <w:pStyle w:val="Nessunaspaziatura"/>
              <w:jc w:val="right"/>
            </w:pPr>
            <w:r>
              <w:t>40.291</w:t>
            </w:r>
          </w:p>
        </w:tc>
      </w:tr>
      <w:tr w:rsidR="009F5FC7" w:rsidRPr="009F5FC7" w14:paraId="09D88262" w14:textId="77777777" w:rsidTr="009F5FC7">
        <w:tc>
          <w:tcPr>
            <w:tcW w:w="1186" w:type="pct"/>
            <w:vMerge/>
            <w:vAlign w:val="center"/>
          </w:tcPr>
          <w:p w14:paraId="772A57C0" w14:textId="77777777" w:rsidR="009F5FC7" w:rsidRPr="00005149" w:rsidRDefault="009F5FC7" w:rsidP="00A953C1">
            <w:pPr>
              <w:pStyle w:val="Nessunaspaziatura"/>
              <w:rPr>
                <w:b/>
                <w:sz w:val="22"/>
              </w:rPr>
            </w:pPr>
          </w:p>
        </w:tc>
        <w:tc>
          <w:tcPr>
            <w:tcW w:w="1108" w:type="pct"/>
            <w:vAlign w:val="center"/>
          </w:tcPr>
          <w:p w14:paraId="2E754EE5" w14:textId="33107963" w:rsidR="009F5FC7" w:rsidRPr="009F5FC7" w:rsidRDefault="009F5FC7" w:rsidP="00F16613">
            <w:pPr>
              <w:pStyle w:val="Nessunaspaziatura"/>
              <w:rPr>
                <w:lang w:val="en-US"/>
              </w:rPr>
            </w:pPr>
            <w:proofErr w:type="spellStart"/>
            <w:r w:rsidRPr="009F5FC7">
              <w:rPr>
                <w:lang w:val="en-US"/>
              </w:rPr>
              <w:t>Viney</w:t>
            </w:r>
            <w:proofErr w:type="spellEnd"/>
            <w:r w:rsidRPr="009F5FC7">
              <w:rPr>
                <w:lang w:val="en-US"/>
              </w:rPr>
              <w:t xml:space="preserve"> Corporation East Europe S.r.l.</w:t>
            </w:r>
          </w:p>
        </w:tc>
        <w:tc>
          <w:tcPr>
            <w:tcW w:w="1515" w:type="pct"/>
            <w:vAlign w:val="center"/>
          </w:tcPr>
          <w:p w14:paraId="656081A1" w14:textId="1A0D972B" w:rsidR="009F5FC7" w:rsidRDefault="009F5FC7" w:rsidP="00F16613">
            <w:pPr>
              <w:pStyle w:val="Nessunaspaziatura"/>
              <w:rPr>
                <w:lang w:val="en-US"/>
              </w:rPr>
            </w:pPr>
            <w:proofErr w:type="spellStart"/>
            <w:r>
              <w:rPr>
                <w:lang w:val="en-US"/>
              </w:rPr>
              <w:t>Vimercati</w:t>
            </w:r>
            <w:proofErr w:type="spellEnd"/>
          </w:p>
        </w:tc>
        <w:tc>
          <w:tcPr>
            <w:tcW w:w="1191" w:type="pct"/>
            <w:vAlign w:val="center"/>
          </w:tcPr>
          <w:p w14:paraId="0D081349" w14:textId="282009C2" w:rsidR="009F5FC7" w:rsidRPr="009F5FC7" w:rsidRDefault="00D237B9" w:rsidP="009F5FC7">
            <w:pPr>
              <w:pStyle w:val="Nessunaspaziatura"/>
              <w:jc w:val="right"/>
              <w:rPr>
                <w:lang w:val="en-US"/>
              </w:rPr>
            </w:pPr>
            <w:r>
              <w:rPr>
                <w:lang w:val="en-US"/>
              </w:rPr>
              <w:t>734.866</w:t>
            </w:r>
          </w:p>
        </w:tc>
      </w:tr>
      <w:tr w:rsidR="00D237B9" w:rsidRPr="009F5FC7" w14:paraId="734D5AF8" w14:textId="77777777" w:rsidTr="00D237B9">
        <w:tc>
          <w:tcPr>
            <w:tcW w:w="1186" w:type="pct"/>
            <w:vAlign w:val="center"/>
          </w:tcPr>
          <w:p w14:paraId="5D76A812" w14:textId="360E5415" w:rsidR="00D237B9" w:rsidRPr="00005149" w:rsidRDefault="00D237B9" w:rsidP="00A953C1">
            <w:pPr>
              <w:pStyle w:val="Nessunaspaziatura"/>
              <w:rPr>
                <w:b/>
                <w:sz w:val="22"/>
              </w:rPr>
            </w:pPr>
            <w:r w:rsidRPr="00D237B9">
              <w:rPr>
                <w:b/>
              </w:rPr>
              <w:t>Altre operazioni marginali</w:t>
            </w:r>
          </w:p>
        </w:tc>
        <w:tc>
          <w:tcPr>
            <w:tcW w:w="1108" w:type="pct"/>
            <w:vAlign w:val="center"/>
          </w:tcPr>
          <w:p w14:paraId="2C1AA6AA" w14:textId="6294FB32" w:rsidR="00D237B9" w:rsidRPr="00683F51" w:rsidRDefault="00D237B9" w:rsidP="00D237B9">
            <w:pPr>
              <w:pStyle w:val="Nessunaspaziatura"/>
            </w:pPr>
            <w:r w:rsidRPr="00683F51">
              <w:t>Vimercati East Europe S.r.l.</w:t>
            </w:r>
          </w:p>
        </w:tc>
        <w:tc>
          <w:tcPr>
            <w:tcW w:w="1515" w:type="pct"/>
            <w:vAlign w:val="center"/>
          </w:tcPr>
          <w:p w14:paraId="15787F5C" w14:textId="564825F4" w:rsidR="00D237B9" w:rsidRDefault="00D237B9" w:rsidP="00D237B9">
            <w:pPr>
              <w:pStyle w:val="Nessunaspaziatura"/>
              <w:rPr>
                <w:lang w:val="en-US"/>
              </w:rPr>
            </w:pPr>
            <w:proofErr w:type="spellStart"/>
            <w:r>
              <w:rPr>
                <w:lang w:val="en-US"/>
              </w:rPr>
              <w:t>Vimercati</w:t>
            </w:r>
            <w:proofErr w:type="spellEnd"/>
          </w:p>
        </w:tc>
        <w:tc>
          <w:tcPr>
            <w:tcW w:w="1191" w:type="pct"/>
            <w:vAlign w:val="center"/>
          </w:tcPr>
          <w:p w14:paraId="4ABA975B" w14:textId="4782179F" w:rsidR="00D237B9" w:rsidDel="00D237B9" w:rsidRDefault="00D237B9" w:rsidP="009F5FC7">
            <w:pPr>
              <w:pStyle w:val="Nessunaspaziatura"/>
              <w:jc w:val="right"/>
              <w:rPr>
                <w:lang w:val="en-US"/>
              </w:rPr>
            </w:pPr>
            <w:r>
              <w:rPr>
                <w:lang w:val="en-US"/>
              </w:rPr>
              <w:t>38.010</w:t>
            </w:r>
          </w:p>
        </w:tc>
      </w:tr>
    </w:tbl>
    <w:p w14:paraId="1398BC11" w14:textId="77777777" w:rsidR="00683F51" w:rsidRDefault="00683F51">
      <w:pPr>
        <w:spacing w:before="0" w:after="160" w:line="259" w:lineRule="auto"/>
        <w:jc w:val="left"/>
        <w:rPr>
          <w:rFonts w:eastAsiaTheme="majorEastAsia" w:cstheme="majorBidi"/>
          <w:b/>
          <w:sz w:val="28"/>
          <w:szCs w:val="26"/>
          <w:lang w:eastAsia="ja-JP"/>
        </w:rPr>
      </w:pPr>
      <w:r>
        <w:rPr>
          <w:lang w:eastAsia="ja-JP"/>
        </w:rPr>
        <w:br w:type="page"/>
      </w:r>
    </w:p>
    <w:p w14:paraId="2CF1F61A" w14:textId="5FE1FD99" w:rsidR="00BE2B16" w:rsidRDefault="00BE2B16" w:rsidP="009241EE">
      <w:pPr>
        <w:pStyle w:val="Titolo2"/>
        <w:numPr>
          <w:ilvl w:val="1"/>
          <w:numId w:val="5"/>
        </w:numPr>
        <w:rPr>
          <w:lang w:eastAsia="ja-JP"/>
        </w:rPr>
      </w:pPr>
      <w:bookmarkStart w:id="9" w:name="_Toc17283161"/>
      <w:bookmarkStart w:id="10" w:name="_Toc17450386"/>
      <w:bookmarkStart w:id="11" w:name="_Toc17283162"/>
      <w:bookmarkStart w:id="12" w:name="_Toc17450387"/>
      <w:bookmarkStart w:id="13" w:name="_Toc17283163"/>
      <w:bookmarkStart w:id="14" w:name="_Toc17450388"/>
      <w:bookmarkStart w:id="15" w:name="_Toc17283164"/>
      <w:bookmarkStart w:id="16" w:name="_Toc17450389"/>
      <w:bookmarkStart w:id="17" w:name="_Toc17283165"/>
      <w:bookmarkStart w:id="18" w:name="_Toc17450390"/>
      <w:bookmarkStart w:id="19" w:name="_Toc17283166"/>
      <w:bookmarkStart w:id="20" w:name="_Toc17450391"/>
      <w:bookmarkStart w:id="21" w:name="_Toc17283182"/>
      <w:bookmarkStart w:id="22" w:name="_Toc17450407"/>
      <w:bookmarkStart w:id="23" w:name="_Toc17283183"/>
      <w:bookmarkStart w:id="24" w:name="_Toc17450408"/>
      <w:bookmarkStart w:id="25" w:name="_Toc2567408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eastAsia="ja-JP"/>
        </w:rPr>
        <w:lastRenderedPageBreak/>
        <w:t>Transazione T</w:t>
      </w:r>
      <w:r w:rsidR="00D237B9">
        <w:rPr>
          <w:lang w:eastAsia="ja-JP"/>
        </w:rPr>
        <w:t>1</w:t>
      </w:r>
      <w:r>
        <w:rPr>
          <w:lang w:eastAsia="ja-JP"/>
        </w:rPr>
        <w:t xml:space="preserve"> – Produzione a contratto</w:t>
      </w:r>
      <w:bookmarkEnd w:id="25"/>
    </w:p>
    <w:p w14:paraId="40334113" w14:textId="498201E7" w:rsidR="00BE2B16" w:rsidRPr="00BE2B16" w:rsidRDefault="00BE2B16" w:rsidP="00BE2B16">
      <w:pPr>
        <w:autoSpaceDE w:val="0"/>
        <w:autoSpaceDN w:val="0"/>
        <w:adjustRightInd w:val="0"/>
        <w:rPr>
          <w:rFonts w:cs="Tahoma"/>
        </w:rPr>
      </w:pPr>
      <w:r w:rsidRPr="00BE2B16">
        <w:rPr>
          <w:rFonts w:cs="Tahoma"/>
        </w:rPr>
        <w:t xml:space="preserve">Nel corso del </w:t>
      </w:r>
      <w:r w:rsidR="009F5FC7" w:rsidRPr="00BE2B16">
        <w:rPr>
          <w:rFonts w:cs="Tahoma"/>
        </w:rPr>
        <w:t>201</w:t>
      </w:r>
      <w:r w:rsidR="00D237B9">
        <w:rPr>
          <w:rFonts w:cs="Tahoma"/>
        </w:rPr>
        <w:t>8</w:t>
      </w:r>
      <w:r w:rsidRPr="00BE2B16">
        <w:rPr>
          <w:rFonts w:cs="Tahoma"/>
        </w:rPr>
        <w:t xml:space="preserve">, Vimercati ha richiesto alla controllata VEE di effettuare, presso il proprio stabilimento di </w:t>
      </w:r>
      <w:proofErr w:type="spellStart"/>
      <w:r w:rsidRPr="00BE2B16">
        <w:rPr>
          <w:rFonts w:cs="Tahoma"/>
        </w:rPr>
        <w:t>Hemeius</w:t>
      </w:r>
      <w:proofErr w:type="spellEnd"/>
      <w:r w:rsidRPr="00BE2B16">
        <w:rPr>
          <w:rFonts w:cs="Tahoma"/>
        </w:rPr>
        <w:t xml:space="preserve"> (Romania), la produzione di prodotti finiti e semilavorati. </w:t>
      </w:r>
    </w:p>
    <w:p w14:paraId="7B5A611C" w14:textId="77777777" w:rsidR="00BE2B16" w:rsidRPr="00BE2B16" w:rsidRDefault="00BE2B16" w:rsidP="00BE2B16">
      <w:pPr>
        <w:autoSpaceDE w:val="0"/>
        <w:autoSpaceDN w:val="0"/>
        <w:adjustRightInd w:val="0"/>
        <w:rPr>
          <w:rFonts w:cs="Tahoma"/>
        </w:rPr>
      </w:pPr>
      <w:r w:rsidRPr="00BE2B16">
        <w:rPr>
          <w:rFonts w:cs="Tahoma"/>
        </w:rPr>
        <w:t>Nella figura seguente viene rappresentato il flusso della transazione.</w:t>
      </w:r>
    </w:p>
    <w:p w14:paraId="1AF07AE3" w14:textId="1B8FDD14" w:rsidR="00BE2B16" w:rsidRDefault="00D27851" w:rsidP="00BE2B16">
      <w:pPr>
        <w:spacing w:after="40"/>
        <w:rPr>
          <w:b/>
          <w:sz w:val="18"/>
        </w:rPr>
      </w:pPr>
      <w:r w:rsidRPr="00AF349F">
        <w:rPr>
          <w:i/>
          <w:noProof/>
          <w:u w:val="single"/>
          <w:lang w:eastAsia="it-IT"/>
        </w:rPr>
        <mc:AlternateContent>
          <mc:Choice Requires="wpg">
            <w:drawing>
              <wp:anchor distT="0" distB="0" distL="114300" distR="114300" simplePos="0" relativeHeight="251674624" behindDoc="0" locked="0" layoutInCell="1" allowOverlap="1" wp14:anchorId="575A1E68" wp14:editId="224EA2EA">
                <wp:simplePos x="0" y="0"/>
                <wp:positionH relativeFrom="column">
                  <wp:posOffset>7950</wp:posOffset>
                </wp:positionH>
                <wp:positionV relativeFrom="paragraph">
                  <wp:posOffset>188595</wp:posOffset>
                </wp:positionV>
                <wp:extent cx="5039360" cy="3525520"/>
                <wp:effectExtent l="0" t="0" r="27940" b="17780"/>
                <wp:wrapTopAndBottom/>
                <wp:docPr id="103" name="Gruppo 59"/>
                <wp:cNvGraphicFramePr/>
                <a:graphic xmlns:a="http://schemas.openxmlformats.org/drawingml/2006/main">
                  <a:graphicData uri="http://schemas.microsoft.com/office/word/2010/wordprocessingGroup">
                    <wpg:wgp>
                      <wpg:cNvGrpSpPr/>
                      <wpg:grpSpPr>
                        <a:xfrm>
                          <a:off x="0" y="0"/>
                          <a:ext cx="5039360" cy="3525520"/>
                          <a:chOff x="0" y="0"/>
                          <a:chExt cx="5039497" cy="3525795"/>
                        </a:xfrm>
                      </wpg:grpSpPr>
                      <wps:wsp>
                        <wps:cNvPr id="104" name="Rettangolo 104"/>
                        <wps:cNvSpPr/>
                        <wps:spPr>
                          <a:xfrm>
                            <a:off x="156519" y="1511012"/>
                            <a:ext cx="1227438" cy="535461"/>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41CC191" w14:textId="77777777" w:rsidR="00A56D1A" w:rsidRPr="00B84AC6" w:rsidRDefault="00A56D1A" w:rsidP="00BE2B16">
                              <w:pPr>
                                <w:pStyle w:val="NormaleWeb"/>
                                <w:spacing w:before="0" w:beforeAutospacing="0" w:after="0" w:afterAutospacing="0"/>
                                <w:jc w:val="center"/>
                              </w:pPr>
                              <w:r w:rsidRPr="00B84AC6">
                                <w:rPr>
                                  <w:bCs/>
                                  <w:color w:val="000000" w:themeColor="text1"/>
                                  <w:kern w:val="24"/>
                                  <w:sz w:val="20"/>
                                  <w:szCs w:val="20"/>
                                </w:rPr>
                                <w:t>Vimercati S.p.A.</w:t>
                              </w:r>
                            </w:p>
                          </w:txbxContent>
                        </wps:txbx>
                        <wps:bodyPr rtlCol="0" anchor="ctr"/>
                      </wps:wsp>
                      <wps:wsp>
                        <wps:cNvPr id="105" name="Rettangolo 105"/>
                        <wps:cNvSpPr/>
                        <wps:spPr>
                          <a:xfrm>
                            <a:off x="3645245" y="1498656"/>
                            <a:ext cx="1227438" cy="535461"/>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A1844E3" w14:textId="77777777" w:rsidR="00A56D1A" w:rsidRDefault="00A56D1A" w:rsidP="00BE2B16">
                              <w:pPr>
                                <w:pStyle w:val="NormaleWeb"/>
                                <w:spacing w:before="0" w:beforeAutospacing="0" w:after="0" w:afterAutospacing="0"/>
                                <w:jc w:val="center"/>
                              </w:pPr>
                              <w:r>
                                <w:rPr>
                                  <w:color w:val="000000" w:themeColor="text1"/>
                                  <w:kern w:val="24"/>
                                  <w:sz w:val="20"/>
                                  <w:szCs w:val="20"/>
                                </w:rPr>
                                <w:t>Vimercati East Europe S.r.l.</w:t>
                              </w:r>
                            </w:p>
                          </w:txbxContent>
                        </wps:txbx>
                        <wps:bodyPr rtlCol="0" anchor="ctr"/>
                      </wps:wsp>
                      <wps:wsp>
                        <wps:cNvPr id="106" name="Rettangolo 106"/>
                        <wps:cNvSpPr/>
                        <wps:spPr>
                          <a:xfrm>
                            <a:off x="0" y="0"/>
                            <a:ext cx="5039497" cy="35257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Ovale 107"/>
                        <wps:cNvSpPr/>
                        <wps:spPr>
                          <a:xfrm>
                            <a:off x="278028" y="168874"/>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40C83BB" w14:textId="77777777" w:rsidR="00A56D1A" w:rsidRDefault="00A56D1A" w:rsidP="00BE2B16">
                              <w:pPr>
                                <w:pStyle w:val="NormaleWeb"/>
                                <w:spacing w:before="0" w:beforeAutospacing="0" w:after="0" w:afterAutospacing="0"/>
                                <w:jc w:val="center"/>
                              </w:pPr>
                              <w:r>
                                <w:rPr>
                                  <w:color w:val="808080" w:themeColor="background1" w:themeShade="80"/>
                                  <w:kern w:val="24"/>
                                  <w:sz w:val="16"/>
                                  <w:szCs w:val="16"/>
                                </w:rPr>
                                <w:t>Fornitori materie prime e componenti</w:t>
                              </w:r>
                            </w:p>
                          </w:txbxContent>
                        </wps:txbx>
                        <wps:bodyPr rtlCol="0" anchor="ctr"/>
                      </wps:wsp>
                      <wps:wsp>
                        <wps:cNvPr id="108" name="Ovale 108"/>
                        <wps:cNvSpPr/>
                        <wps:spPr>
                          <a:xfrm>
                            <a:off x="278027" y="2518885"/>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24E1419" w14:textId="77777777" w:rsidR="00A56D1A" w:rsidRDefault="00A56D1A" w:rsidP="00BE2B16">
                              <w:pPr>
                                <w:pStyle w:val="NormaleWeb"/>
                                <w:spacing w:before="0" w:beforeAutospacing="0" w:after="0" w:afterAutospacing="0"/>
                                <w:jc w:val="center"/>
                              </w:pPr>
                              <w:r>
                                <w:rPr>
                                  <w:color w:val="808080" w:themeColor="background1" w:themeShade="80"/>
                                  <w:kern w:val="24"/>
                                  <w:sz w:val="16"/>
                                  <w:szCs w:val="16"/>
                                </w:rPr>
                                <w:t>Clienti</w:t>
                              </w:r>
                            </w:p>
                          </w:txbxContent>
                        </wps:txbx>
                        <wps:bodyPr rtlCol="0" anchor="ctr"/>
                      </wps:wsp>
                      <wps:wsp>
                        <wps:cNvPr id="109" name="Connettore 2 109"/>
                        <wps:cNvCnPr>
                          <a:stCxn id="107" idx="4"/>
                          <a:endCxn id="104" idx="0"/>
                        </wps:cNvCnPr>
                        <wps:spPr>
                          <a:xfrm>
                            <a:off x="768180" y="1042086"/>
                            <a:ext cx="2058" cy="468926"/>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Connettore 2 110"/>
                        <wps:cNvCnPr>
                          <a:stCxn id="104" idx="2"/>
                          <a:endCxn id="108" idx="0"/>
                        </wps:cNvCnPr>
                        <wps:spPr>
                          <a:xfrm flipH="1">
                            <a:off x="768179" y="2046473"/>
                            <a:ext cx="2059" cy="472412"/>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Connettore 2 111"/>
                        <wps:cNvCnPr/>
                        <wps:spPr>
                          <a:xfrm flipV="1">
                            <a:off x="1383957" y="1699221"/>
                            <a:ext cx="2261288" cy="12356"/>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12" name="Connettore 2 112"/>
                        <wps:cNvCnPr/>
                        <wps:spPr>
                          <a:xfrm flipH="1">
                            <a:off x="1383957" y="1860491"/>
                            <a:ext cx="2261288" cy="12356"/>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13" name="Rettangolo 113"/>
                        <wps:cNvSpPr/>
                        <wps:spPr>
                          <a:xfrm>
                            <a:off x="1933832" y="816680"/>
                            <a:ext cx="1194487" cy="444842"/>
                          </a:xfrm>
                          <a:prstGeom prst="rect">
                            <a:avLst/>
                          </a:prstGeom>
                          <a:solidFill>
                            <a:schemeClr val="bg1"/>
                          </a:solidFill>
                          <a:ln w="31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34693B" w14:textId="77777777" w:rsidR="00A56D1A" w:rsidRPr="007A3F96" w:rsidRDefault="00A56D1A" w:rsidP="00BE2B16">
                              <w:pPr>
                                <w:pStyle w:val="NormaleWeb"/>
                                <w:spacing w:before="0" w:beforeAutospacing="0" w:after="0" w:afterAutospacing="0"/>
                                <w:jc w:val="center"/>
                                <w:rPr>
                                  <w:color w:val="A6A6A6" w:themeColor="background1" w:themeShade="A6"/>
                                </w:rPr>
                              </w:pPr>
                              <w:r w:rsidRPr="007A3F96">
                                <w:rPr>
                                  <w:color w:val="A6A6A6" w:themeColor="background1" w:themeShade="A6"/>
                                  <w:kern w:val="24"/>
                                  <w:sz w:val="16"/>
                                  <w:szCs w:val="16"/>
                                </w:rPr>
                                <w:t xml:space="preserve">Componenti </w:t>
                              </w:r>
                            </w:p>
                          </w:txbxContent>
                        </wps:txbx>
                        <wps:bodyPr rtlCol="0" anchor="ctr"/>
                      </wps:wsp>
                    </wpg:wgp>
                  </a:graphicData>
                </a:graphic>
                <wp14:sizeRelV relativeFrom="margin">
                  <wp14:pctHeight>0</wp14:pctHeight>
                </wp14:sizeRelV>
              </wp:anchor>
            </w:drawing>
          </mc:Choice>
          <mc:Fallback>
            <w:pict>
              <v:group w14:anchorId="575A1E68" id="Gruppo 59" o:spid="_x0000_s1026" style="position:absolute;left:0;text-align:left;margin-left:.65pt;margin-top:14.85pt;width:396.8pt;height:277.6pt;z-index:251674624;mso-height-relative:margin" coordsize="50394,35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">
                <v:rect id="Rettangolo 104" o:spid="_x0000_s1027" style="position:absolute;left:1565;top:15110;width:12274;height:53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pOsAA&#10;AADcAAAADwAAAGRycy9kb3ducmV2LnhtbERP24rCMBB9F/Yfwgi+iKZeWKQaZREW9qWCuh8wNGNT&#10;bCaxSbX+/WZB8G0O5zqbXW8bcac21I4VzKYZCOLS6ZorBb/n78kKRIjIGhvHpOBJAXbbj8EGc+0e&#10;fKT7KVYihXDIUYGJ0edShtKQxTB1njhxF9dajAm2ldQtPlK4beQ8yz6lxZpTg0FPe0Pl9dRZBX23&#10;ut2K7moNLYpmPI/+UHiv1GjYf61BROrjW/xy/+g0P1vC/zPpAr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OpOsAAAADcAAAADwAAAAAAAAAAAAAAAACYAgAAZHJzL2Rvd25y&#10;ZXYueG1sUEsFBgAAAAAEAAQA9QAAAIUDAAAAAA==&#10;" filled="f" strokecolor="black [3213]">
                  <v:textbox>
                    <w:txbxContent>
                      <w:p w14:paraId="341CC191" w14:textId="77777777" w:rsidR="00A56D1A" w:rsidRPr="00B84AC6" w:rsidRDefault="00A56D1A" w:rsidP="00BE2B16">
                        <w:pPr>
                          <w:pStyle w:val="NormaleWeb"/>
                          <w:spacing w:before="0" w:beforeAutospacing="0" w:after="0" w:afterAutospacing="0"/>
                          <w:jc w:val="center"/>
                        </w:pPr>
                        <w:r w:rsidRPr="00B84AC6">
                          <w:rPr>
                            <w:bCs/>
                            <w:color w:val="000000" w:themeColor="text1"/>
                            <w:kern w:val="24"/>
                            <w:sz w:val="20"/>
                            <w:szCs w:val="20"/>
                          </w:rPr>
                          <w:t>Vimercati S.p.A.</w:t>
                        </w:r>
                      </w:p>
                    </w:txbxContent>
                  </v:textbox>
                </v:rect>
                <v:rect id="Rettangolo 105" o:spid="_x0000_s1028" style="position:absolute;left:36452;top:14986;width:12274;height:5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8MocAA&#10;AADcAAAADwAAAGRycy9kb3ducmV2LnhtbERPzYrCMBC+C/sOYQQvoqmKi1SjLMLCXiqo+wBDMzbF&#10;ZhKbVOvbbxYEb/Px/c5m19tG3KkNtWMFs2kGgrh0uuZKwe/5e7ICESKyxsYxKXhSgN32Y7DBXLsH&#10;H+l+ipVIIRxyVGBi9LmUoTRkMUydJ07cxbUWY4JtJXWLjxRuGznPsk9psebUYNDT3lB5PXVWQd+t&#10;breiu1pDi6IZz6M/FN4rNRr2X2sQkfr4Fr/cPzrNz5bw/0y6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98MocAAAADcAAAADwAAAAAAAAAAAAAAAACYAgAAZHJzL2Rvd25y&#10;ZXYueG1sUEsFBgAAAAAEAAQA9QAAAIUDAAAAAA==&#10;" filled="f" strokecolor="black [3213]">
                  <v:textbox>
                    <w:txbxContent>
                      <w:p w14:paraId="3A1844E3" w14:textId="77777777" w:rsidR="00A56D1A" w:rsidRDefault="00A56D1A" w:rsidP="00BE2B16">
                        <w:pPr>
                          <w:pStyle w:val="NormaleWeb"/>
                          <w:spacing w:before="0" w:beforeAutospacing="0" w:after="0" w:afterAutospacing="0"/>
                          <w:jc w:val="center"/>
                        </w:pPr>
                        <w:r>
                          <w:rPr>
                            <w:color w:val="000000" w:themeColor="text1"/>
                            <w:kern w:val="24"/>
                            <w:sz w:val="20"/>
                            <w:szCs w:val="20"/>
                          </w:rPr>
                          <w:t>Vimercati East Europe S.r.l.</w:t>
                        </w:r>
                      </w:p>
                    </w:txbxContent>
                  </v:textbox>
                </v:rect>
                <v:rect id="Rettangolo 106" o:spid="_x0000_s1029" style="position:absolute;width:50394;height:35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Gh8MA&#10;AADcAAAADwAAAGRycy9kb3ducmV2LnhtbERPTWvCQBC9C/6HZYRepG7sQSR1FbG05CCFqj30Nman&#10;2dTsbMhONf77bkHwNo/3OYtV7xt1pi7WgQ1MJxko4jLYmisDh/3r4xxUFGSLTWAycKUIq+VwsMDc&#10;hgt/0HknlUohHHM04ETaXOtYOvIYJ6ElTtx36DxKgl2lbYeXFO4b/ZRlM+2x5tTgsKWNo/K0+/UG&#10;vopeqp/pm2xPOP4cF+5Yvr8cjXkY9etnUEK93MU3d2HT/GwG/8+kC/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xGh8MAAADcAAAADwAAAAAAAAAAAAAAAACYAgAAZHJzL2Rv&#10;d25yZXYueG1sUEsFBgAAAAAEAAQA9QAAAIgDAAAAAA==&#10;" filled="f" strokecolor="black [3213]" strokeweight="1pt"/>
                <v:oval id="Ovale 107" o:spid="_x0000_s1030" style="position:absolute;left:2780;top:1688;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7bU8UA&#10;AADcAAAADwAAAGRycy9kb3ducmV2LnhtbERPS2vCQBC+C/0PyxS8iG7aUpXoRopgK4jU18HjkJ0m&#10;IdnZsLtq6q/vFgq9zcf3nPmiM424kvOVZQVPowQEcW51xYWC03E1nILwAVljY5kUfJOHRfbQm2Oq&#10;7Y33dD2EQsQQ9ikqKENoUyl9XpJBP7ItceS+rDMYInSF1A5vMdw08jlJxtJgxbGhxJaWJeX14WIU&#10;bMf33ebkquOLez2vPpafm/p9MFGq/9i9zUAE6sK/+M+91nF+MoHfZ+IF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ttTxQAAANwAAAAPAAAAAAAAAAAAAAAAAJgCAABkcnMv&#10;ZG93bnJldi54bWxQSwUGAAAAAAQABAD1AAAAigMAAAAA&#10;" filled="f" strokecolor="#a5a5a5 [2092]" strokeweight="1pt">
                  <v:stroke dashstyle="dash" joinstyle="miter"/>
                  <v:textbox>
                    <w:txbxContent>
                      <w:p w14:paraId="340C83BB" w14:textId="77777777" w:rsidR="00A56D1A" w:rsidRDefault="00A56D1A" w:rsidP="00BE2B16">
                        <w:pPr>
                          <w:pStyle w:val="NormaleWeb"/>
                          <w:spacing w:before="0" w:beforeAutospacing="0" w:after="0" w:afterAutospacing="0"/>
                          <w:jc w:val="center"/>
                        </w:pPr>
                        <w:r>
                          <w:rPr>
                            <w:color w:val="808080" w:themeColor="background1" w:themeShade="80"/>
                            <w:kern w:val="24"/>
                            <w:sz w:val="16"/>
                            <w:szCs w:val="16"/>
                          </w:rPr>
                          <w:t>Fornitori materie prime e componenti</w:t>
                        </w:r>
                      </w:p>
                    </w:txbxContent>
                  </v:textbox>
                </v:oval>
                <v:oval id="Ovale 108" o:spid="_x0000_s1031" style="position:absolute;left:2780;top:25188;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FPIcgA&#10;AADcAAAADwAAAGRycy9kb3ducmV2LnhtbESPQWsCQQyF74X+hyEFL0Vna6nK6ihF0BZE2qoHj2En&#10;7i7uZJaZUbf99c2h0FvCe3nvy2zRuUZdKcTas4GnQQaKuPC25tLAYb/qT0DFhGyx8UwGvinCYn5/&#10;N8Pc+ht/0XWXSiUhHHM0UKXU5lrHoiKHceBbYtFOPjhMsoZS24A3CXeNHmbZSDusWRoqbGlZUXHe&#10;XZyB7ejnc3MI9f45vBxXb8uPzXn9ODam99C9TkEl6tK/+e/63Qp+JrTyjEyg5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0AU8hyAAAANwAAAAPAAAAAAAAAAAAAAAAAJgCAABk&#10;cnMvZG93bnJldi54bWxQSwUGAAAAAAQABAD1AAAAjQMAAAAA&#10;" filled="f" strokecolor="#a5a5a5 [2092]" strokeweight="1pt">
                  <v:stroke dashstyle="dash" joinstyle="miter"/>
                  <v:textbox>
                    <w:txbxContent>
                      <w:p w14:paraId="624E1419" w14:textId="77777777" w:rsidR="00A56D1A" w:rsidRDefault="00A56D1A" w:rsidP="00BE2B16">
                        <w:pPr>
                          <w:pStyle w:val="NormaleWeb"/>
                          <w:spacing w:before="0" w:beforeAutospacing="0" w:after="0" w:afterAutospacing="0"/>
                          <w:jc w:val="center"/>
                        </w:pPr>
                        <w:r>
                          <w:rPr>
                            <w:color w:val="808080" w:themeColor="background1" w:themeShade="80"/>
                            <w:kern w:val="24"/>
                            <w:sz w:val="16"/>
                            <w:szCs w:val="16"/>
                          </w:rPr>
                          <w:t>Clienti</w:t>
                        </w:r>
                      </w:p>
                    </w:txbxContent>
                  </v:textbox>
                </v:oval>
                <v:shapetype id="_x0000_t32" coordsize="21600,21600" o:spt="32" o:oned="t" path="m,l21600,21600e" filled="f">
                  <v:path arrowok="t" fillok="f" o:connecttype="none"/>
                  <o:lock v:ext="edit" shapetype="t"/>
                </v:shapetype>
                <v:shape id="Connettore 2 109" o:spid="_x0000_s1032" type="#_x0000_t32" style="position:absolute;left:7681;top:10420;width:21;height:4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QQZsQAAADcAAAADwAAAGRycy9kb3ducmV2LnhtbERPS2sCMRC+C/6HMII3TWpB2q1ZEbUg&#10;oofa9tDbsJl91M1k2UR3219vhEJv8/E9Z7HsbS2u1PrKsYaHqQJBnDlTcaHh4/118gTCB2SDtWPS&#10;8EMelulwsMDEuI7f6HoKhYgh7BPUUIbQJFL6rCSLfuoa4sjlrrUYImwLaVrsYrit5UypubRYcWwo&#10;saF1Sdn5dLEa9v3R5NnhU80fv7smbDfqd/V11no86lcvIAL14V/8596ZOF89w/2ZeIFM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BBBmxAAAANwAAAAPAAAAAAAAAAAA&#10;AAAAAKECAABkcnMvZG93bnJldi54bWxQSwUGAAAAAAQABAD5AAAAkgMAAAAA&#10;" strokecolor="#a5a5a5 [2092]" strokeweight=".5pt">
                  <v:stroke endarrow="block" joinstyle="miter"/>
                </v:shape>
                <v:shape id="Connettore 2 110" o:spid="_x0000_s1033" type="#_x0000_t32" style="position:absolute;left:7681;top:20464;width:21;height:47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axZ8YAAADcAAAADwAAAGRycy9kb3ducmV2LnhtbESPT2vCQBDF7wW/wzJCb3VjDyKpq0ht&#10;iyi2+Ae9DtkxCc3OhuzWJN/eOQi9zfDevPeb2aJzlbpRE0rPBsajBBRx5m3JuYHT8fNlCipEZIuV&#10;ZzLQU4DFfPA0w9T6lvd0O8RcSQiHFA0UMdap1iEryGEY+ZpYtKtvHEZZm1zbBlsJd5V+TZKJdliy&#10;NBRY03tB2e/hzxn4zsP2HHbtatN/7E/914p/Lu5izPOwW76BitTFf/Pjem0Ffyz48oxMo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WsWfGAAAA3AAAAA8AAAAAAAAA&#10;AAAAAAAAoQIAAGRycy9kb3ducmV2LnhtbFBLBQYAAAAABAAEAPkAAACUAwAAAAA=&#10;" strokecolor="#a5a5a5 [2092]" strokeweight=".5pt">
                  <v:stroke endarrow="block" joinstyle="miter"/>
                </v:shape>
                <v:shape id="Connettore 2 111" o:spid="_x0000_s1034" type="#_x0000_t32" style="position:absolute;left:13839;top:16992;width:22613;height:1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TmiMYAAADcAAAADwAAAGRycy9kb3ducmV2LnhtbERP22rCQBB9F/oPyxT6IrpJCiLRVWpB&#10;UNoiXhB8G7JjkjY7G3a3Me3XdwuFvs3hXGe+7E0jOnK+tqwgHScgiAuray4VnI7r0RSED8gaG8uk&#10;4Is8LBd3gznm2t54T90hlCKGsM9RQRVCm0vpi4oM+rFtiSN3tc5giNCVUju8xXDTyCxJJtJgzbGh&#10;wpaeKyo+Dp9Gwe4xm7xt999TN7xctquX1fm1e8+Uerjvn2YgAvXhX/zn3ug4P03h95l4gVz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E5ojGAAAA3AAAAA8AAAAAAAAA&#10;AAAAAAAAoQIAAGRycy9kb3ducmV2LnhtbFBLBQYAAAAABAAEAPkAAACUAwAAAAA=&#10;" strokecolor="black [3213]" strokeweight="1pt">
                  <v:stroke endarrow="block" joinstyle="miter"/>
                </v:shape>
                <v:shape id="Connettore 2 112" o:spid="_x0000_s1035" type="#_x0000_t32" style="position:absolute;left:13839;top:18604;width:22613;height:1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55t8MAAADcAAAADwAAAGRycy9kb3ducmV2LnhtbERP22rCQBB9L/gPywi+FLNJCkFi1iCW&#10;ipTSUvUDhuyYBLOzIbua+PfdQqFvczjXKcrJdOJOg2stK0iiGARxZXXLtYLz6W25AuE8ssbOMil4&#10;kINyM3sqMNd25G+6H30tQgi7HBU03ve5lK5qyKCLbE8cuIsdDPoAh1rqAccQbjqZxnEmDbYcGhrs&#10;addQdT3ejIL29vGVXe37+fN1/zy9VF2K8SpVajGftmsQnib/L/5zH3SYn6Tw+0y4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ebfDAAAA3AAAAA8AAAAAAAAAAAAA&#10;AAAAoQIAAGRycy9kb3ducmV2LnhtbFBLBQYAAAAABAAEAPkAAACRAwAAAAA=&#10;" strokecolor="black [3213]" strokeweight="1pt">
                  <v:stroke dashstyle="dash" endarrow="block" joinstyle="miter"/>
                </v:shape>
                <v:rect id="Rettangolo 113" o:spid="_x0000_s1036" style="position:absolute;left:19338;top:8166;width:11945;height:44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uk7MIA&#10;AADcAAAADwAAAGRycy9kb3ducmV2LnhtbERPS2vCQBC+F/wPyxR6qxsrqKSuIhbBgx58IHgbstMk&#10;NDsbdqcm/nu3UPA2H99z5sveNepGIdaeDYyGGSjiwtuaSwPn0+Z9BioKssXGMxm4U4TlYvAyx9z6&#10;jg90O0qpUgjHHA1UIm2udSwqchiHviVO3LcPDiXBUGobsEvhrtEfWTbRDmtODRW2tK6o+Dn+OgOb&#10;y9Wviq+xxK24EO6Hbj/dlca8vfarT1BCvTzF/+6tTfNHY/h7Jl2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6TswgAAANwAAAAPAAAAAAAAAAAAAAAAAJgCAABkcnMvZG93&#10;bnJldi54bWxQSwUGAAAAAAQABAD1AAAAhwMAAAAA&#10;" fillcolor="white [3212]" strokecolor="#bfbfbf [2412]" strokeweight=".25pt">
                  <v:textbox>
                    <w:txbxContent>
                      <w:p w14:paraId="2B34693B" w14:textId="77777777" w:rsidR="00A56D1A" w:rsidRPr="007A3F96" w:rsidRDefault="00A56D1A" w:rsidP="00BE2B16">
                        <w:pPr>
                          <w:pStyle w:val="NormaleWeb"/>
                          <w:spacing w:before="0" w:beforeAutospacing="0" w:after="0" w:afterAutospacing="0"/>
                          <w:jc w:val="center"/>
                          <w:rPr>
                            <w:color w:val="A6A6A6" w:themeColor="background1" w:themeShade="A6"/>
                          </w:rPr>
                        </w:pPr>
                        <w:r w:rsidRPr="007A3F96">
                          <w:rPr>
                            <w:color w:val="A6A6A6" w:themeColor="background1" w:themeShade="A6"/>
                            <w:kern w:val="24"/>
                            <w:sz w:val="16"/>
                            <w:szCs w:val="16"/>
                          </w:rPr>
                          <w:t xml:space="preserve">Componenti </w:t>
                        </w:r>
                      </w:p>
                    </w:txbxContent>
                  </v:textbox>
                </v:rect>
                <w10:wrap type="topAndBottom"/>
              </v:group>
            </w:pict>
          </mc:Fallback>
        </mc:AlternateContent>
      </w:r>
      <w:r w:rsidR="00BE2B16">
        <w:rPr>
          <w:noProof/>
          <w:lang w:eastAsia="it-IT"/>
        </w:rPr>
        <mc:AlternateContent>
          <mc:Choice Requires="wps">
            <w:drawing>
              <wp:anchor distT="0" distB="0" distL="114300" distR="114300" simplePos="0" relativeHeight="251677696" behindDoc="0" locked="0" layoutInCell="1" allowOverlap="1" wp14:anchorId="16A70A8B" wp14:editId="214C3331">
                <wp:simplePos x="0" y="0"/>
                <wp:positionH relativeFrom="column">
                  <wp:posOffset>1783458</wp:posOffset>
                </wp:positionH>
                <wp:positionV relativeFrom="paragraph">
                  <wp:posOffset>1538968</wp:posOffset>
                </wp:positionV>
                <wp:extent cx="1573481" cy="444500"/>
                <wp:effectExtent l="0" t="0" r="0" b="0"/>
                <wp:wrapNone/>
                <wp:docPr id="101" name="Rettangolo 101"/>
                <wp:cNvGraphicFramePr/>
                <a:graphic xmlns:a="http://schemas.openxmlformats.org/drawingml/2006/main">
                  <a:graphicData uri="http://schemas.microsoft.com/office/word/2010/wordprocessingShape">
                    <wps:wsp>
                      <wps:cNvSpPr/>
                      <wps:spPr>
                        <a:xfrm>
                          <a:off x="0" y="0"/>
                          <a:ext cx="1573481" cy="4445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97D95" w14:textId="77777777" w:rsidR="00A56D1A" w:rsidRPr="00242685" w:rsidRDefault="00A56D1A" w:rsidP="00BE2B16">
                            <w:pPr>
                              <w:pStyle w:val="NormaleWeb"/>
                              <w:spacing w:before="0" w:beforeAutospacing="0" w:after="0" w:afterAutospacing="0"/>
                              <w:jc w:val="center"/>
                              <w:rPr>
                                <w:color w:val="000000" w:themeColor="text1"/>
                                <w14:textOutline w14:w="9525" w14:cap="rnd" w14:cmpd="sng" w14:algn="ctr">
                                  <w14:noFill/>
                                  <w14:prstDash w14:val="solid"/>
                                  <w14:bevel/>
                                </w14:textOutline>
                              </w:rPr>
                            </w:pPr>
                            <w:r w:rsidRPr="00242685">
                              <w:rPr>
                                <w:color w:val="000000" w:themeColor="text1"/>
                                <w:kern w:val="24"/>
                                <w:sz w:val="16"/>
                                <w:szCs w:val="16"/>
                                <w14:textOutline w14:w="9525" w14:cap="rnd" w14:cmpd="sng" w14:algn="ctr">
                                  <w14:noFill/>
                                  <w14:prstDash w14:val="solid"/>
                                  <w14:bevel/>
                                </w14:textOutline>
                              </w:rPr>
                              <w:t>S</w:t>
                            </w:r>
                            <w:r>
                              <w:rPr>
                                <w:color w:val="000000" w:themeColor="text1"/>
                                <w:kern w:val="24"/>
                                <w:sz w:val="16"/>
                                <w:szCs w:val="16"/>
                                <w14:textOutline w14:w="9525" w14:cap="rnd" w14:cmpd="sng" w14:algn="ctr">
                                  <w14:noFill/>
                                  <w14:prstDash w14:val="solid"/>
                                  <w14:bevel/>
                                </w14:textOutline>
                              </w:rPr>
                              <w:t>ervizi di produzione a contratto</w:t>
                            </w:r>
                          </w:p>
                        </w:txbxContent>
                      </wps:txbx>
                      <wps:bodyPr wrap="square" rtlCol="0" anchor="ctr"/>
                    </wps:wsp>
                  </a:graphicData>
                </a:graphic>
                <wp14:sizeRelH relativeFrom="margin">
                  <wp14:pctWidth>0</wp14:pctWidth>
                </wp14:sizeRelH>
              </wp:anchor>
            </w:drawing>
          </mc:Choice>
          <mc:Fallback>
            <w:pict>
              <v:rect w14:anchorId="16A70A8B" id="Rettangolo 101" o:spid="_x0000_s1037" style="position:absolute;left:0;text-align:left;margin-left:140.45pt;margin-top:121.2pt;width:123.9pt;height:3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" filled="f" stroked="f" strokeweight=".25pt">
                <v:textbox>
                  <w:txbxContent>
                    <w:p w14:paraId="5FA97D95" w14:textId="77777777" w:rsidR="00A56D1A" w:rsidRPr="00242685" w:rsidRDefault="00A56D1A" w:rsidP="00BE2B16">
                      <w:pPr>
                        <w:pStyle w:val="NormaleWeb"/>
                        <w:spacing w:before="0" w:beforeAutospacing="0" w:after="0" w:afterAutospacing="0"/>
                        <w:jc w:val="center"/>
                        <w:rPr>
                          <w:color w:val="000000" w:themeColor="text1"/>
                          <w14:textOutline w14:w="9525" w14:cap="rnd" w14:cmpd="sng" w14:algn="ctr">
                            <w14:noFill/>
                            <w14:prstDash w14:val="solid"/>
                            <w14:bevel/>
                          </w14:textOutline>
                        </w:rPr>
                      </w:pPr>
                      <w:r w:rsidRPr="00242685">
                        <w:rPr>
                          <w:color w:val="000000" w:themeColor="text1"/>
                          <w:kern w:val="24"/>
                          <w:sz w:val="16"/>
                          <w:szCs w:val="16"/>
                          <w14:textOutline w14:w="9525" w14:cap="rnd" w14:cmpd="sng" w14:algn="ctr">
                            <w14:noFill/>
                            <w14:prstDash w14:val="solid"/>
                            <w14:bevel/>
                          </w14:textOutline>
                        </w:rPr>
                        <w:t>S</w:t>
                      </w:r>
                      <w:r>
                        <w:rPr>
                          <w:color w:val="000000" w:themeColor="text1"/>
                          <w:kern w:val="24"/>
                          <w:sz w:val="16"/>
                          <w:szCs w:val="16"/>
                          <w14:textOutline w14:w="9525" w14:cap="rnd" w14:cmpd="sng" w14:algn="ctr">
                            <w14:noFill/>
                            <w14:prstDash w14:val="solid"/>
                            <w14:bevel/>
                          </w14:textOutline>
                        </w:rPr>
                        <w:t>ervizi di produzione a contratto</w:t>
                      </w:r>
                    </w:p>
                  </w:txbxContent>
                </v:textbox>
              </v:rect>
            </w:pict>
          </mc:Fallback>
        </mc:AlternateContent>
      </w:r>
      <w:r w:rsidR="00BE2B16" w:rsidRPr="002D401C">
        <w:rPr>
          <w:b/>
          <w:sz w:val="18"/>
        </w:rPr>
        <w:t>Figura: Flussi transazioni T</w:t>
      </w:r>
      <w:r w:rsidR="00BE2B16">
        <w:rPr>
          <w:noProof/>
          <w:lang w:eastAsia="it-IT"/>
        </w:rPr>
        <mc:AlternateContent>
          <mc:Choice Requires="wps">
            <w:drawing>
              <wp:anchor distT="0" distB="0" distL="114300" distR="114300" simplePos="0" relativeHeight="251678720" behindDoc="0" locked="0" layoutInCell="1" allowOverlap="1" wp14:anchorId="0354973A" wp14:editId="02884948">
                <wp:simplePos x="0" y="0"/>
                <wp:positionH relativeFrom="column">
                  <wp:posOffset>1820973</wp:posOffset>
                </wp:positionH>
                <wp:positionV relativeFrom="paragraph">
                  <wp:posOffset>1963717</wp:posOffset>
                </wp:positionV>
                <wp:extent cx="1389413" cy="444807"/>
                <wp:effectExtent l="0" t="0" r="0" b="0"/>
                <wp:wrapNone/>
                <wp:docPr id="102" name="Rettangolo 102"/>
                <wp:cNvGraphicFramePr/>
                <a:graphic xmlns:a="http://schemas.openxmlformats.org/drawingml/2006/main">
                  <a:graphicData uri="http://schemas.microsoft.com/office/word/2010/wordprocessingShape">
                    <wps:wsp>
                      <wps:cNvSpPr/>
                      <wps:spPr>
                        <a:xfrm>
                          <a:off x="0" y="0"/>
                          <a:ext cx="1389413" cy="444807"/>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43B253" w14:textId="77777777" w:rsidR="00A56D1A" w:rsidRPr="00242685" w:rsidRDefault="00A56D1A" w:rsidP="00BE2B16">
                            <w:pPr>
                              <w:pStyle w:val="NormaleWeb"/>
                              <w:spacing w:before="0" w:beforeAutospacing="0" w:after="0" w:afterAutospacing="0"/>
                              <w:jc w:val="center"/>
                              <w:rPr>
                                <w:color w:val="000000" w:themeColor="text1"/>
                                <w14:textOutline w14:w="9525" w14:cap="rnd" w14:cmpd="sng" w14:algn="ctr">
                                  <w14:noFill/>
                                  <w14:prstDash w14:val="solid"/>
                                  <w14:bevel/>
                                </w14:textOutline>
                              </w:rPr>
                            </w:pPr>
                            <w:r>
                              <w:rPr>
                                <w:color w:val="000000" w:themeColor="text1"/>
                                <w:kern w:val="24"/>
                                <w:sz w:val="16"/>
                                <w:szCs w:val="16"/>
                                <w14:textOutline w14:w="9525" w14:cap="rnd" w14:cmpd="sng" w14:algn="ctr">
                                  <w14:noFill/>
                                  <w14:prstDash w14:val="solid"/>
                                  <w14:bevel/>
                                </w14:textOutline>
                              </w:rPr>
                              <w:t>Prezzo di trasferimento</w:t>
                            </w:r>
                          </w:p>
                        </w:txbxContent>
                      </wps:txbx>
                      <wps:bodyPr wrap="square" rtlCol="0" anchor="ctr"/>
                    </wps:wsp>
                  </a:graphicData>
                </a:graphic>
                <wp14:sizeRelH relativeFrom="margin">
                  <wp14:pctWidth>0</wp14:pctWidth>
                </wp14:sizeRelH>
              </wp:anchor>
            </w:drawing>
          </mc:Choice>
          <mc:Fallback>
            <w:pict>
              <v:rect w14:anchorId="0354973A" id="Rettangolo 102" o:spid="_x0000_s1038" style="position:absolute;left:0;text-align:left;margin-left:143.4pt;margin-top:154.6pt;width:109.4pt;height:3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" filled="f" stroked="f" strokeweight=".25pt">
                <v:textbox>
                  <w:txbxContent>
                    <w:p w14:paraId="0443B253" w14:textId="77777777" w:rsidR="00A56D1A" w:rsidRPr="00242685" w:rsidRDefault="00A56D1A" w:rsidP="00BE2B16">
                      <w:pPr>
                        <w:pStyle w:val="NormaleWeb"/>
                        <w:spacing w:before="0" w:beforeAutospacing="0" w:after="0" w:afterAutospacing="0"/>
                        <w:jc w:val="center"/>
                        <w:rPr>
                          <w:color w:val="000000" w:themeColor="text1"/>
                          <w14:textOutline w14:w="9525" w14:cap="rnd" w14:cmpd="sng" w14:algn="ctr">
                            <w14:noFill/>
                            <w14:prstDash w14:val="solid"/>
                            <w14:bevel/>
                          </w14:textOutline>
                        </w:rPr>
                      </w:pPr>
                      <w:r>
                        <w:rPr>
                          <w:color w:val="000000" w:themeColor="text1"/>
                          <w:kern w:val="24"/>
                          <w:sz w:val="16"/>
                          <w:szCs w:val="16"/>
                          <w14:textOutline w14:w="9525" w14:cap="rnd" w14:cmpd="sng" w14:algn="ctr">
                            <w14:noFill/>
                            <w14:prstDash w14:val="solid"/>
                            <w14:bevel/>
                          </w14:textOutline>
                        </w:rPr>
                        <w:t>Prezzo di trasferimento</w:t>
                      </w:r>
                    </w:p>
                  </w:txbxContent>
                </v:textbox>
              </v:rect>
            </w:pict>
          </mc:Fallback>
        </mc:AlternateContent>
      </w:r>
      <w:r w:rsidR="00BE2B16">
        <w:rPr>
          <w:noProof/>
          <w:color w:val="F2F2F2" w:themeColor="background1" w:themeShade="F2"/>
          <w:lang w:eastAsia="it-IT"/>
        </w:rPr>
        <mc:AlternateContent>
          <mc:Choice Requires="wps">
            <w:drawing>
              <wp:anchor distT="0" distB="0" distL="114300" distR="114300" simplePos="0" relativeHeight="251676672" behindDoc="0" locked="0" layoutInCell="1" allowOverlap="1" wp14:anchorId="2C844A51" wp14:editId="6A23C0FE">
                <wp:simplePos x="0" y="0"/>
                <wp:positionH relativeFrom="column">
                  <wp:posOffset>1150981</wp:posOffset>
                </wp:positionH>
                <wp:positionV relativeFrom="paragraph">
                  <wp:posOffset>1228725</wp:posOffset>
                </wp:positionV>
                <wp:extent cx="675483" cy="459740"/>
                <wp:effectExtent l="19050" t="76200" r="0" b="35560"/>
                <wp:wrapNone/>
                <wp:docPr id="114" name="Connettore 4 114"/>
                <wp:cNvGraphicFramePr/>
                <a:graphic xmlns:a="http://schemas.openxmlformats.org/drawingml/2006/main">
                  <a:graphicData uri="http://schemas.microsoft.com/office/word/2010/wordprocessingShape">
                    <wps:wsp>
                      <wps:cNvCnPr/>
                      <wps:spPr>
                        <a:xfrm flipV="1">
                          <a:off x="0" y="0"/>
                          <a:ext cx="675483" cy="459740"/>
                        </a:xfrm>
                        <a:prstGeom prst="bentConnector3">
                          <a:avLst>
                            <a:gd name="adj1" fmla="val -2209"/>
                          </a:avLst>
                        </a:prstGeom>
                        <a:ln>
                          <a:solidFill>
                            <a:schemeClr val="bg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DDCB3D0" id="_x0000_t34" coordsize="21600,21600" o:spt="34" o:oned="t" adj="10800" path="m,l@0,0@0,21600,21600,21600e" filled="f">
                <v:stroke joinstyle="miter"/>
                <v:formulas>
                  <v:f eqn="val #0"/>
                </v:formulas>
                <v:path arrowok="t" fillok="f" o:connecttype="none"/>
                <v:handles>
                  <v:h position="#0,center"/>
                </v:handles>
                <o:lock v:ext="edit" shapetype="t"/>
              </v:shapetype>
              <v:shape id="Connettore 4 114" o:spid="_x0000_s1026" type="#_x0000_t34" style="position:absolute;margin-left:90.65pt;margin-top:96.75pt;width:53.2pt;height:36.2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" adj="-477" strokecolor="#bfbfbf [2412]" strokeweight=".5pt">
                <v:stroke endarrow="block"/>
              </v:shape>
            </w:pict>
          </mc:Fallback>
        </mc:AlternateContent>
      </w:r>
      <w:r w:rsidR="00BE2B16" w:rsidRPr="007A3F96">
        <w:rPr>
          <w:noProof/>
          <w:color w:val="F2F2F2" w:themeColor="background1" w:themeShade="F2"/>
          <w:lang w:eastAsia="it-IT"/>
        </w:rPr>
        <mc:AlternateContent>
          <mc:Choice Requires="wps">
            <w:drawing>
              <wp:anchor distT="0" distB="0" distL="114300" distR="114300" simplePos="0" relativeHeight="251675648" behindDoc="0" locked="0" layoutInCell="1" allowOverlap="1" wp14:anchorId="78AFB99F" wp14:editId="0870F171">
                <wp:simplePos x="0" y="0"/>
                <wp:positionH relativeFrom="column">
                  <wp:posOffset>3016885</wp:posOffset>
                </wp:positionH>
                <wp:positionV relativeFrom="paragraph">
                  <wp:posOffset>1228725</wp:posOffset>
                </wp:positionV>
                <wp:extent cx="1105945" cy="460314"/>
                <wp:effectExtent l="0" t="0" r="75565" b="54610"/>
                <wp:wrapNone/>
                <wp:docPr id="115" name="Connettore 4 115"/>
                <wp:cNvGraphicFramePr/>
                <a:graphic xmlns:a="http://schemas.openxmlformats.org/drawingml/2006/main">
                  <a:graphicData uri="http://schemas.microsoft.com/office/word/2010/wordprocessingShape">
                    <wps:wsp>
                      <wps:cNvCnPr/>
                      <wps:spPr>
                        <a:xfrm>
                          <a:off x="0" y="0"/>
                          <a:ext cx="1105945" cy="460314"/>
                        </a:xfrm>
                        <a:prstGeom prst="bentConnector3">
                          <a:avLst>
                            <a:gd name="adj1" fmla="val 100187"/>
                          </a:avLst>
                        </a:prstGeom>
                        <a:ln>
                          <a:solidFill>
                            <a:schemeClr val="bg1">
                              <a:lumMod val="75000"/>
                            </a:schemeClr>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58714F" id="Connettore 4 115" o:spid="_x0000_s1026" type="#_x0000_t34" style="position:absolute;margin-left:237.55pt;margin-top:96.75pt;width:87.1pt;height:3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" adj="21640" strokecolor="#bfbfbf [2412]" strokeweight=".5pt">
                <v:stroke endarrow="block"/>
              </v:shape>
            </w:pict>
          </mc:Fallback>
        </mc:AlternateContent>
      </w:r>
      <w:r w:rsidR="00875176">
        <w:rPr>
          <w:b/>
          <w:sz w:val="18"/>
        </w:rPr>
        <w:t>1</w:t>
      </w:r>
    </w:p>
    <w:p w14:paraId="52B29CB6" w14:textId="6A615B04" w:rsidR="00BE2B16" w:rsidRPr="009241EE" w:rsidRDefault="00BE2B16" w:rsidP="00BE2B16">
      <w:pPr>
        <w:keepNext/>
        <w:rPr>
          <w:lang w:eastAsia="ja-JP"/>
        </w:rPr>
      </w:pPr>
      <w:r>
        <w:rPr>
          <w:lang w:eastAsia="ja-JP"/>
        </w:rPr>
        <w:t>Nella tabella seguente viene rappresentato l’importo della transazione.</w:t>
      </w:r>
    </w:p>
    <w:tbl>
      <w:tblPr>
        <w:tblStyle w:val="Grigliatabella"/>
        <w:tblW w:w="0" w:type="auto"/>
        <w:tblLook w:val="04A0" w:firstRow="1" w:lastRow="0" w:firstColumn="1" w:lastColumn="0" w:noHBand="0" w:noVBand="1"/>
      </w:tblPr>
      <w:tblGrid>
        <w:gridCol w:w="451"/>
        <w:gridCol w:w="1914"/>
        <w:gridCol w:w="1665"/>
        <w:gridCol w:w="939"/>
        <w:gridCol w:w="1591"/>
        <w:gridCol w:w="989"/>
        <w:gridCol w:w="1399"/>
      </w:tblGrid>
      <w:tr w:rsidR="00BE2B16" w14:paraId="0628A9AB" w14:textId="77777777" w:rsidTr="00A953C1">
        <w:tc>
          <w:tcPr>
            <w:tcW w:w="451" w:type="dxa"/>
            <w:shd w:val="clear" w:color="auto" w:fill="00338D"/>
          </w:tcPr>
          <w:p w14:paraId="2932DB65" w14:textId="77777777" w:rsidR="00BE2B16" w:rsidRDefault="00BE2B16" w:rsidP="00A953C1">
            <w:pPr>
              <w:pStyle w:val="Nessunaspaziatura"/>
              <w:keepNext/>
              <w:rPr>
                <w:b/>
                <w:color w:val="FFFFFF" w:themeColor="background1"/>
              </w:rPr>
            </w:pPr>
          </w:p>
        </w:tc>
        <w:tc>
          <w:tcPr>
            <w:tcW w:w="1914" w:type="dxa"/>
            <w:shd w:val="clear" w:color="auto" w:fill="00338D"/>
            <w:vAlign w:val="center"/>
          </w:tcPr>
          <w:p w14:paraId="1F176D09" w14:textId="77777777" w:rsidR="00BE2B16" w:rsidRPr="00610F1F" w:rsidRDefault="00BE2B16" w:rsidP="00A953C1">
            <w:pPr>
              <w:pStyle w:val="Nessunaspaziatura"/>
              <w:keepNext/>
              <w:rPr>
                <w:b/>
                <w:color w:val="FFFFFF" w:themeColor="background1"/>
              </w:rPr>
            </w:pPr>
            <w:r>
              <w:rPr>
                <w:b/>
                <w:color w:val="FFFFFF" w:themeColor="background1"/>
              </w:rPr>
              <w:t>Transazione</w:t>
            </w:r>
          </w:p>
        </w:tc>
        <w:tc>
          <w:tcPr>
            <w:tcW w:w="1665" w:type="dxa"/>
            <w:shd w:val="clear" w:color="auto" w:fill="00338D"/>
            <w:vAlign w:val="center"/>
          </w:tcPr>
          <w:p w14:paraId="60BEC6B6" w14:textId="77777777" w:rsidR="00BE2B16" w:rsidRPr="00610F1F" w:rsidRDefault="00BE2B16" w:rsidP="00A953C1">
            <w:pPr>
              <w:pStyle w:val="Nessunaspaziatura"/>
              <w:keepNext/>
              <w:rPr>
                <w:b/>
                <w:color w:val="FFFFFF" w:themeColor="background1"/>
              </w:rPr>
            </w:pPr>
            <w:r>
              <w:rPr>
                <w:b/>
                <w:color w:val="FFFFFF" w:themeColor="background1"/>
              </w:rPr>
              <w:t>Cedente / Prestatore</w:t>
            </w:r>
          </w:p>
        </w:tc>
        <w:tc>
          <w:tcPr>
            <w:tcW w:w="939" w:type="dxa"/>
            <w:shd w:val="clear" w:color="auto" w:fill="00338D"/>
            <w:vAlign w:val="center"/>
          </w:tcPr>
          <w:p w14:paraId="11DA2929" w14:textId="77777777" w:rsidR="00BE2B16" w:rsidRDefault="00BE2B16" w:rsidP="00A953C1">
            <w:pPr>
              <w:pStyle w:val="Nessunaspaziatura"/>
              <w:keepNext/>
              <w:rPr>
                <w:b/>
                <w:color w:val="FFFFFF" w:themeColor="background1"/>
              </w:rPr>
            </w:pPr>
            <w:r>
              <w:rPr>
                <w:b/>
                <w:color w:val="FFFFFF" w:themeColor="background1"/>
              </w:rPr>
              <w:t>Paese</w:t>
            </w:r>
          </w:p>
        </w:tc>
        <w:tc>
          <w:tcPr>
            <w:tcW w:w="1591" w:type="dxa"/>
            <w:shd w:val="clear" w:color="auto" w:fill="00338D"/>
            <w:vAlign w:val="center"/>
          </w:tcPr>
          <w:p w14:paraId="7969B2BA" w14:textId="77777777" w:rsidR="00BE2B16" w:rsidRPr="00610F1F" w:rsidRDefault="00BE2B16" w:rsidP="00A953C1">
            <w:pPr>
              <w:pStyle w:val="Nessunaspaziatura"/>
              <w:keepNext/>
              <w:rPr>
                <w:b/>
                <w:color w:val="FFFFFF" w:themeColor="background1"/>
              </w:rPr>
            </w:pPr>
            <w:r>
              <w:rPr>
                <w:b/>
                <w:color w:val="FFFFFF" w:themeColor="background1"/>
              </w:rPr>
              <w:t>Cessionario / Beneficiario</w:t>
            </w:r>
          </w:p>
        </w:tc>
        <w:tc>
          <w:tcPr>
            <w:tcW w:w="989" w:type="dxa"/>
            <w:shd w:val="clear" w:color="auto" w:fill="00338D"/>
            <w:vAlign w:val="center"/>
          </w:tcPr>
          <w:p w14:paraId="66FA898C" w14:textId="77777777" w:rsidR="00BE2B16" w:rsidRPr="00610F1F" w:rsidRDefault="00BE2B16" w:rsidP="00A953C1">
            <w:pPr>
              <w:pStyle w:val="Nessunaspaziatura"/>
              <w:keepNext/>
              <w:rPr>
                <w:b/>
                <w:color w:val="FFFFFF" w:themeColor="background1"/>
              </w:rPr>
            </w:pPr>
            <w:r>
              <w:rPr>
                <w:b/>
                <w:color w:val="FFFFFF" w:themeColor="background1"/>
              </w:rPr>
              <w:t>Paese</w:t>
            </w:r>
          </w:p>
        </w:tc>
        <w:tc>
          <w:tcPr>
            <w:tcW w:w="1399" w:type="dxa"/>
            <w:shd w:val="clear" w:color="auto" w:fill="00338D"/>
            <w:vAlign w:val="center"/>
          </w:tcPr>
          <w:p w14:paraId="347BA2FE" w14:textId="77777777" w:rsidR="00BE2B16" w:rsidRPr="00610F1F" w:rsidRDefault="00BE2B16" w:rsidP="00A953C1">
            <w:pPr>
              <w:pStyle w:val="Nessunaspaziatura"/>
              <w:keepNext/>
              <w:rPr>
                <w:b/>
                <w:color w:val="FFFFFF" w:themeColor="background1"/>
              </w:rPr>
            </w:pPr>
            <w:r>
              <w:rPr>
                <w:b/>
                <w:color w:val="FFFFFF" w:themeColor="background1"/>
              </w:rPr>
              <w:t>Importo</w:t>
            </w:r>
          </w:p>
        </w:tc>
      </w:tr>
      <w:tr w:rsidR="00BE2B16" w14:paraId="4C22B407" w14:textId="77777777" w:rsidTr="00A953C1">
        <w:tc>
          <w:tcPr>
            <w:tcW w:w="451" w:type="dxa"/>
            <w:vAlign w:val="center"/>
          </w:tcPr>
          <w:p w14:paraId="6101ABDB" w14:textId="7920F9CA" w:rsidR="00BE2B16" w:rsidRPr="00610F1F" w:rsidRDefault="00BE2B16" w:rsidP="00A953C1">
            <w:pPr>
              <w:pStyle w:val="Nessunaspaziatura"/>
              <w:keepNext/>
              <w:rPr>
                <w:b/>
              </w:rPr>
            </w:pPr>
            <w:r>
              <w:rPr>
                <w:b/>
              </w:rPr>
              <w:t>T</w:t>
            </w:r>
            <w:r w:rsidR="00875176">
              <w:rPr>
                <w:b/>
              </w:rPr>
              <w:t>1</w:t>
            </w:r>
          </w:p>
        </w:tc>
        <w:tc>
          <w:tcPr>
            <w:tcW w:w="1914" w:type="dxa"/>
            <w:vAlign w:val="center"/>
          </w:tcPr>
          <w:p w14:paraId="182AED3E" w14:textId="469E832D" w:rsidR="00BE2B16" w:rsidRPr="00610F1F" w:rsidRDefault="00BE2B16" w:rsidP="00A953C1">
            <w:pPr>
              <w:pStyle w:val="Nessunaspaziatura"/>
              <w:keepNext/>
              <w:rPr>
                <w:b/>
              </w:rPr>
            </w:pPr>
            <w:r>
              <w:rPr>
                <w:b/>
              </w:rPr>
              <w:t>Produzione a contratto</w:t>
            </w:r>
          </w:p>
        </w:tc>
        <w:tc>
          <w:tcPr>
            <w:tcW w:w="1665" w:type="dxa"/>
            <w:vAlign w:val="center"/>
          </w:tcPr>
          <w:p w14:paraId="41DC2097" w14:textId="77777777" w:rsidR="00BE2B16" w:rsidRDefault="00BE2B16" w:rsidP="00A953C1">
            <w:pPr>
              <w:pStyle w:val="Nessunaspaziatura"/>
              <w:keepNext/>
            </w:pPr>
            <w:r>
              <w:t>Vimercati East Europe S.r.l.</w:t>
            </w:r>
          </w:p>
        </w:tc>
        <w:tc>
          <w:tcPr>
            <w:tcW w:w="939" w:type="dxa"/>
            <w:vAlign w:val="center"/>
          </w:tcPr>
          <w:p w14:paraId="34DB1C1E" w14:textId="77777777" w:rsidR="00BE2B16" w:rsidRDefault="00BE2B16" w:rsidP="00A953C1">
            <w:pPr>
              <w:pStyle w:val="Nessunaspaziatura"/>
              <w:keepNext/>
            </w:pPr>
            <w:r>
              <w:t>Romania</w:t>
            </w:r>
          </w:p>
        </w:tc>
        <w:tc>
          <w:tcPr>
            <w:tcW w:w="1591" w:type="dxa"/>
            <w:vAlign w:val="center"/>
          </w:tcPr>
          <w:p w14:paraId="54D28DE1" w14:textId="77777777" w:rsidR="00BE2B16" w:rsidRDefault="00BE2B16" w:rsidP="00A953C1">
            <w:pPr>
              <w:pStyle w:val="Nessunaspaziatura"/>
              <w:keepNext/>
            </w:pPr>
            <w:r>
              <w:t>Vimercati S.p.A.</w:t>
            </w:r>
          </w:p>
        </w:tc>
        <w:tc>
          <w:tcPr>
            <w:tcW w:w="989" w:type="dxa"/>
            <w:vAlign w:val="center"/>
          </w:tcPr>
          <w:p w14:paraId="2C99C88E" w14:textId="77777777" w:rsidR="00BE2B16" w:rsidRDefault="00BE2B16" w:rsidP="00A953C1">
            <w:pPr>
              <w:pStyle w:val="Nessunaspaziatura"/>
              <w:keepNext/>
            </w:pPr>
            <w:r>
              <w:t>Italia</w:t>
            </w:r>
          </w:p>
        </w:tc>
        <w:tc>
          <w:tcPr>
            <w:tcW w:w="1399" w:type="dxa"/>
            <w:vAlign w:val="center"/>
          </w:tcPr>
          <w:p w14:paraId="22AFC4EE" w14:textId="7980506E" w:rsidR="00BE2B16" w:rsidRDefault="00BE2B16" w:rsidP="009F5FC7">
            <w:pPr>
              <w:pStyle w:val="Nessunaspaziatura"/>
              <w:keepNext/>
              <w:jc w:val="right"/>
            </w:pPr>
            <w:r>
              <w:t xml:space="preserve">€ </w:t>
            </w:r>
            <w:r w:rsidR="00875176">
              <w:t>31.481.911</w:t>
            </w:r>
            <w:r w:rsidR="00875176" w:rsidRPr="00875176">
              <w:t xml:space="preserve">   </w:t>
            </w:r>
          </w:p>
        </w:tc>
      </w:tr>
    </w:tbl>
    <w:p w14:paraId="10056BE3" w14:textId="77777777" w:rsidR="00BE2B16" w:rsidRPr="000440ED" w:rsidRDefault="00BE2B16" w:rsidP="00BE2B16">
      <w:pPr>
        <w:rPr>
          <w:i/>
          <w:u w:val="single"/>
        </w:rPr>
      </w:pPr>
      <w:r w:rsidRPr="000440ED">
        <w:rPr>
          <w:i/>
          <w:u w:val="single"/>
        </w:rPr>
        <w:t>Motivazioni giuridico economico</w:t>
      </w:r>
    </w:p>
    <w:p w14:paraId="0D930829" w14:textId="458C1120" w:rsidR="00BE2B16" w:rsidRPr="00BE2B16" w:rsidRDefault="00BE2B16" w:rsidP="00BE2B16">
      <w:pPr>
        <w:autoSpaceDE w:val="0"/>
        <w:autoSpaceDN w:val="0"/>
        <w:adjustRightInd w:val="0"/>
        <w:rPr>
          <w:rFonts w:cs="Tahoma"/>
        </w:rPr>
      </w:pPr>
      <w:r w:rsidRPr="00BE2B16">
        <w:rPr>
          <w:rFonts w:cs="Tahoma"/>
        </w:rPr>
        <w:t>Trattasi di prodotti finiti che Vimercati acquista da VEE destinati ad essere distribuiti e commercializzati ai clienti finali dalla stessa Vimercati.</w:t>
      </w:r>
    </w:p>
    <w:p w14:paraId="1C0D5A4A" w14:textId="77777777" w:rsidR="00F16613" w:rsidRDefault="00F16613">
      <w:pPr>
        <w:spacing w:before="0" w:after="160" w:line="259" w:lineRule="auto"/>
        <w:jc w:val="left"/>
        <w:rPr>
          <w:rFonts w:eastAsiaTheme="majorEastAsia" w:cstheme="majorBidi"/>
          <w:b/>
          <w:sz w:val="28"/>
          <w:szCs w:val="26"/>
          <w:lang w:eastAsia="ja-JP"/>
        </w:rPr>
      </w:pPr>
      <w:r>
        <w:rPr>
          <w:lang w:eastAsia="ja-JP"/>
        </w:rPr>
        <w:br w:type="page"/>
      </w:r>
    </w:p>
    <w:p w14:paraId="15AA1A6A" w14:textId="011BBD10" w:rsidR="00C907CE" w:rsidRDefault="00BE2B16" w:rsidP="009241EE">
      <w:pPr>
        <w:pStyle w:val="Titolo2"/>
        <w:numPr>
          <w:ilvl w:val="1"/>
          <w:numId w:val="5"/>
        </w:numPr>
        <w:rPr>
          <w:lang w:eastAsia="ja-JP"/>
        </w:rPr>
      </w:pPr>
      <w:bookmarkStart w:id="26" w:name="_Toc25674088"/>
      <w:r>
        <w:rPr>
          <w:lang w:eastAsia="ja-JP"/>
        </w:rPr>
        <w:lastRenderedPageBreak/>
        <w:t>T</w:t>
      </w:r>
      <w:r w:rsidR="009241EE">
        <w:rPr>
          <w:lang w:eastAsia="ja-JP"/>
        </w:rPr>
        <w:t>ransazione T</w:t>
      </w:r>
      <w:r w:rsidR="00875176">
        <w:rPr>
          <w:lang w:eastAsia="ja-JP"/>
        </w:rPr>
        <w:t>2</w:t>
      </w:r>
      <w:r w:rsidR="009241EE">
        <w:rPr>
          <w:lang w:eastAsia="ja-JP"/>
        </w:rPr>
        <w:t xml:space="preserve"> – </w:t>
      </w:r>
      <w:commentRangeStart w:id="27"/>
      <w:r>
        <w:rPr>
          <w:lang w:eastAsia="ja-JP"/>
        </w:rPr>
        <w:t>Produzione</w:t>
      </w:r>
      <w:r w:rsidR="009241EE">
        <w:rPr>
          <w:lang w:eastAsia="ja-JP"/>
        </w:rPr>
        <w:t xml:space="preserve"> e vendita diretta di componenti</w:t>
      </w:r>
      <w:commentRangeEnd w:id="27"/>
      <w:r w:rsidR="00683F51">
        <w:rPr>
          <w:rStyle w:val="Rimandocommento"/>
          <w:rFonts w:eastAsiaTheme="minorHAnsi" w:cstheme="minorBidi"/>
          <w:b w:val="0"/>
        </w:rPr>
        <w:commentReference w:id="27"/>
      </w:r>
      <w:bookmarkEnd w:id="26"/>
    </w:p>
    <w:p w14:paraId="02ACB445" w14:textId="55559158" w:rsidR="009241EE" w:rsidRDefault="009241EE" w:rsidP="009241EE">
      <w:pPr>
        <w:autoSpaceDE w:val="0"/>
        <w:autoSpaceDN w:val="0"/>
        <w:adjustRightInd w:val="0"/>
        <w:rPr>
          <w:rFonts w:cs="Tahoma"/>
        </w:rPr>
      </w:pPr>
      <w:r w:rsidRPr="00806B2C">
        <w:rPr>
          <w:rFonts w:cs="Tahoma"/>
        </w:rPr>
        <w:t xml:space="preserve">Nel corso del </w:t>
      </w:r>
      <w:r w:rsidR="009F5FC7" w:rsidRPr="00806B2C">
        <w:rPr>
          <w:rFonts w:cs="Tahoma"/>
        </w:rPr>
        <w:t>201</w:t>
      </w:r>
      <w:r w:rsidR="00875176">
        <w:rPr>
          <w:rFonts w:cs="Tahoma"/>
        </w:rPr>
        <w:t>8</w:t>
      </w:r>
      <w:r w:rsidRPr="00806B2C">
        <w:rPr>
          <w:rFonts w:cs="Tahoma"/>
        </w:rPr>
        <w:t xml:space="preserve">, dietro specifica richiesta del cliente, Vimercati ha demandato a VEE le attività di </w:t>
      </w:r>
      <w:r>
        <w:rPr>
          <w:rFonts w:cs="Tahoma"/>
        </w:rPr>
        <w:t>assemblaggio</w:t>
      </w:r>
      <w:r w:rsidRPr="00806B2C">
        <w:rPr>
          <w:rFonts w:cs="Tahoma"/>
        </w:rPr>
        <w:t xml:space="preserve"> e di distribuzione di taluni specifici prodotti destinati ad essere ceduti </w:t>
      </w:r>
      <w:r w:rsidR="00683F51" w:rsidRPr="00BA5D2C">
        <w:rPr>
          <w:rFonts w:cs="Tahoma"/>
          <w:highlight w:val="yellow"/>
        </w:rPr>
        <w:t>al cliente “BMW”</w:t>
      </w:r>
      <w:r w:rsidR="00683F51">
        <w:rPr>
          <w:rFonts w:cs="Tahoma"/>
        </w:rPr>
        <w:t>.</w:t>
      </w:r>
    </w:p>
    <w:p w14:paraId="368C6ED8" w14:textId="4EB5C831" w:rsidR="009241EE" w:rsidRDefault="009241EE" w:rsidP="009241EE">
      <w:pPr>
        <w:autoSpaceDE w:val="0"/>
        <w:autoSpaceDN w:val="0"/>
        <w:adjustRightInd w:val="0"/>
        <w:rPr>
          <w:rFonts w:cs="Tahoma"/>
        </w:rPr>
      </w:pPr>
      <w:r>
        <w:rPr>
          <w:rFonts w:cs="Tahoma"/>
        </w:rPr>
        <w:t>P</w:t>
      </w:r>
      <w:r w:rsidRPr="00806B2C">
        <w:rPr>
          <w:rFonts w:cs="Tahoma"/>
        </w:rPr>
        <w:t xml:space="preserve">er incontrare le esigenze di natura operativa, logistica ed amministrativa </w:t>
      </w:r>
      <w:r w:rsidR="00FB3159">
        <w:rPr>
          <w:rFonts w:cs="Tahoma"/>
        </w:rPr>
        <w:t>dei clienti locali</w:t>
      </w:r>
      <w:r w:rsidRPr="00806B2C">
        <w:rPr>
          <w:rFonts w:cs="Tahoma"/>
        </w:rPr>
        <w:t xml:space="preserve">, Vimercati e la controllata romena hanno perfezionato una serie di accordi contrattuali ai sensi e per gli effetti dei quali, nel periodo d’imposta </w:t>
      </w:r>
      <w:r w:rsidR="00FB3159" w:rsidRPr="00806B2C">
        <w:rPr>
          <w:rFonts w:cs="Tahoma"/>
        </w:rPr>
        <w:t>201</w:t>
      </w:r>
      <w:r w:rsidR="00875176">
        <w:rPr>
          <w:rFonts w:cs="Tahoma"/>
        </w:rPr>
        <w:t>8</w:t>
      </w:r>
      <w:r w:rsidRPr="00806B2C">
        <w:rPr>
          <w:rFonts w:cs="Tahoma"/>
        </w:rPr>
        <w:t>, sono intercorsi una pluralità di flus</w:t>
      </w:r>
      <w:r>
        <w:rPr>
          <w:rFonts w:cs="Tahoma"/>
        </w:rPr>
        <w:t xml:space="preserve">si infragruppo strumentali all’assemblaggio di componenti per la realizzazione </w:t>
      </w:r>
      <w:r w:rsidR="0046755B">
        <w:rPr>
          <w:rFonts w:cs="Tahoma"/>
        </w:rPr>
        <w:t>di diversi prodotti</w:t>
      </w:r>
      <w:r w:rsidRPr="00806B2C">
        <w:rPr>
          <w:rFonts w:cs="Tahoma"/>
        </w:rPr>
        <w:t xml:space="preserve"> </w:t>
      </w:r>
      <w:r w:rsidR="00683F51" w:rsidRPr="00BA5D2C">
        <w:rPr>
          <w:rFonts w:cs="Tahoma"/>
          <w:highlight w:val="yellow"/>
        </w:rPr>
        <w:t>RUKO (attivatori airbag), PL7 (modulo luci),  HKL (interruttore apri bagagliaio), DLS (interruttore chiusura porte), SHZ (tasto riscaldamento sedili), BEL 35up (mostrina luci) e SFZ (modulo interruttori SZF o funzione ausiliaria sedile) ed alla successiva vendita diretta degli stessi al cliente “BMW”</w:t>
      </w:r>
      <w:r w:rsidRPr="00806B2C">
        <w:rPr>
          <w:rFonts w:cs="Tahoma"/>
        </w:rPr>
        <w:t xml:space="preserve"> da parte di VEE.</w:t>
      </w:r>
    </w:p>
    <w:p w14:paraId="448532A6" w14:textId="77777777" w:rsidR="009241EE" w:rsidRDefault="009241EE" w:rsidP="009241EE">
      <w:pPr>
        <w:autoSpaceDE w:val="0"/>
        <w:autoSpaceDN w:val="0"/>
        <w:adjustRightInd w:val="0"/>
        <w:spacing w:after="60"/>
        <w:rPr>
          <w:rFonts w:cs="Tahoma"/>
        </w:rPr>
      </w:pPr>
      <w:r>
        <w:rPr>
          <w:rFonts w:cs="Tahoma"/>
        </w:rPr>
        <w:t>La presente transazione è composta dai seguenti flussi infragruppo:</w:t>
      </w:r>
    </w:p>
    <w:p w14:paraId="44F4E8DD" w14:textId="77777777" w:rsidR="009241EE" w:rsidRPr="00242E63" w:rsidRDefault="009241EE" w:rsidP="009241EE">
      <w:pPr>
        <w:pStyle w:val="Paragrafoelenco"/>
        <w:numPr>
          <w:ilvl w:val="0"/>
          <w:numId w:val="8"/>
        </w:numPr>
        <w:autoSpaceDE w:val="0"/>
        <w:autoSpaceDN w:val="0"/>
        <w:adjustRightInd w:val="0"/>
        <w:spacing w:before="60" w:after="60"/>
        <w:contextualSpacing w:val="0"/>
        <w:rPr>
          <w:rFonts w:cs="Tahoma"/>
        </w:rPr>
      </w:pPr>
      <w:proofErr w:type="gramStart"/>
      <w:r w:rsidRPr="00242E63">
        <w:rPr>
          <w:rFonts w:cs="Tahoma"/>
        </w:rPr>
        <w:t>cessione</w:t>
      </w:r>
      <w:proofErr w:type="gramEnd"/>
      <w:r w:rsidRPr="00242E63">
        <w:rPr>
          <w:rFonts w:cs="Tahoma"/>
        </w:rPr>
        <w:t xml:space="preserve"> delle componenti per l’assemblaggio (senza </w:t>
      </w:r>
      <w:r w:rsidRPr="00242E63">
        <w:rPr>
          <w:rFonts w:cs="Tahoma"/>
          <w:i/>
        </w:rPr>
        <w:t>mark up</w:t>
      </w:r>
      <w:r w:rsidRPr="00242E63">
        <w:rPr>
          <w:rFonts w:cs="Tahoma"/>
        </w:rPr>
        <w:t xml:space="preserve"> sui costi di produzione/acquisto);</w:t>
      </w:r>
    </w:p>
    <w:p w14:paraId="029648F8" w14:textId="07B23820" w:rsidR="009241EE" w:rsidRPr="00242E63" w:rsidRDefault="009241EE" w:rsidP="009241EE">
      <w:pPr>
        <w:pStyle w:val="Paragrafoelenco"/>
        <w:numPr>
          <w:ilvl w:val="0"/>
          <w:numId w:val="8"/>
        </w:numPr>
        <w:autoSpaceDE w:val="0"/>
        <w:autoSpaceDN w:val="0"/>
        <w:adjustRightInd w:val="0"/>
        <w:spacing w:before="60" w:after="60"/>
        <w:contextualSpacing w:val="0"/>
        <w:rPr>
          <w:rFonts w:cs="Tahoma"/>
        </w:rPr>
      </w:pPr>
      <w:proofErr w:type="gramStart"/>
      <w:r w:rsidRPr="00242E63">
        <w:rPr>
          <w:rFonts w:cs="Tahoma"/>
        </w:rPr>
        <w:t>l’erogazione</w:t>
      </w:r>
      <w:proofErr w:type="gramEnd"/>
      <w:r w:rsidRPr="00242E63">
        <w:rPr>
          <w:rFonts w:cs="Tahoma"/>
        </w:rPr>
        <w:t xml:space="preserve"> di servizi funzionali alle vendite dei prodotti destinati ad essere ceduti direttamente </w:t>
      </w:r>
      <w:r w:rsidR="00683F51" w:rsidRPr="00242E63">
        <w:rPr>
          <w:rFonts w:cs="Tahoma"/>
        </w:rPr>
        <w:t>al cliente “BMW”</w:t>
      </w:r>
      <w:r w:rsidRPr="00242E63">
        <w:rPr>
          <w:rFonts w:cs="Tahoma"/>
        </w:rPr>
        <w:t>;</w:t>
      </w:r>
    </w:p>
    <w:p w14:paraId="5A7A0E09" w14:textId="77777777" w:rsidR="009241EE" w:rsidRPr="00242E63" w:rsidRDefault="009241EE" w:rsidP="009241EE">
      <w:pPr>
        <w:pStyle w:val="Paragrafoelenco"/>
        <w:numPr>
          <w:ilvl w:val="0"/>
          <w:numId w:val="8"/>
        </w:numPr>
        <w:autoSpaceDE w:val="0"/>
        <w:autoSpaceDN w:val="0"/>
        <w:adjustRightInd w:val="0"/>
        <w:spacing w:before="60" w:after="60"/>
        <w:contextualSpacing w:val="0"/>
        <w:rPr>
          <w:rFonts w:cs="Tahoma"/>
        </w:rPr>
      </w:pPr>
      <w:proofErr w:type="gramStart"/>
      <w:r w:rsidRPr="00242E63">
        <w:rPr>
          <w:rFonts w:cs="Tahoma"/>
        </w:rPr>
        <w:t>locazione</w:t>
      </w:r>
      <w:proofErr w:type="gramEnd"/>
      <w:r w:rsidRPr="00242E63">
        <w:rPr>
          <w:rFonts w:cs="Tahoma"/>
        </w:rPr>
        <w:t xml:space="preserve"> di macchinari e stampi;</w:t>
      </w:r>
    </w:p>
    <w:p w14:paraId="1779551A" w14:textId="77777777" w:rsidR="009241EE" w:rsidRPr="00242E63" w:rsidRDefault="009241EE" w:rsidP="009241EE">
      <w:pPr>
        <w:pStyle w:val="Paragrafoelenco"/>
        <w:numPr>
          <w:ilvl w:val="0"/>
          <w:numId w:val="8"/>
        </w:numPr>
        <w:autoSpaceDE w:val="0"/>
        <w:autoSpaceDN w:val="0"/>
        <w:adjustRightInd w:val="0"/>
        <w:spacing w:before="60" w:after="60"/>
        <w:contextualSpacing w:val="0"/>
        <w:rPr>
          <w:rFonts w:cs="Tahoma"/>
        </w:rPr>
      </w:pPr>
      <w:proofErr w:type="gramStart"/>
      <w:r w:rsidRPr="00242E63">
        <w:rPr>
          <w:rFonts w:cs="Tahoma"/>
        </w:rPr>
        <w:t>licenza</w:t>
      </w:r>
      <w:proofErr w:type="gramEnd"/>
      <w:r w:rsidRPr="00242E63">
        <w:rPr>
          <w:rFonts w:cs="Tahoma"/>
        </w:rPr>
        <w:t xml:space="preserve"> di produzione e </w:t>
      </w:r>
      <w:r w:rsidRPr="00242E63">
        <w:rPr>
          <w:rFonts w:cs="Tahoma"/>
          <w:i/>
        </w:rPr>
        <w:t>know-how</w:t>
      </w:r>
      <w:r w:rsidRPr="00242E63">
        <w:rPr>
          <w:rFonts w:cs="Tahoma"/>
        </w:rPr>
        <w:t>.</w:t>
      </w:r>
    </w:p>
    <w:p w14:paraId="566146A9" w14:textId="761FD56C" w:rsidR="009241EE" w:rsidRPr="008F3CA3" w:rsidRDefault="009241EE" w:rsidP="008F3CA3">
      <w:pPr>
        <w:autoSpaceDE w:val="0"/>
        <w:autoSpaceDN w:val="0"/>
        <w:adjustRightInd w:val="0"/>
        <w:rPr>
          <w:rFonts w:cs="Tahoma"/>
        </w:rPr>
      </w:pPr>
      <w:r>
        <w:rPr>
          <w:rFonts w:cs="Tahoma"/>
        </w:rPr>
        <w:t>In particolare, la tabella seguente rie</w:t>
      </w:r>
      <w:r w:rsidR="008F3CA3">
        <w:rPr>
          <w:rFonts w:cs="Tahoma"/>
        </w:rPr>
        <w:t>piloga i valori di tali flussi:</w:t>
      </w:r>
    </w:p>
    <w:tbl>
      <w:tblPr>
        <w:tblStyle w:val="Grigliatabella"/>
        <w:tblW w:w="5000" w:type="pct"/>
        <w:tblLook w:val="04A0" w:firstRow="1" w:lastRow="0" w:firstColumn="1" w:lastColumn="0" w:noHBand="0" w:noVBand="1"/>
      </w:tblPr>
      <w:tblGrid>
        <w:gridCol w:w="2286"/>
        <w:gridCol w:w="1617"/>
        <w:gridCol w:w="1033"/>
        <w:gridCol w:w="1770"/>
        <w:gridCol w:w="945"/>
        <w:gridCol w:w="1297"/>
      </w:tblGrid>
      <w:tr w:rsidR="009241EE" w14:paraId="2A35344E" w14:textId="77777777" w:rsidTr="00ED3E3F">
        <w:tc>
          <w:tcPr>
            <w:tcW w:w="1277" w:type="pct"/>
            <w:shd w:val="clear" w:color="auto" w:fill="00338D"/>
            <w:vAlign w:val="center"/>
          </w:tcPr>
          <w:p w14:paraId="6CE0A605" w14:textId="77777777" w:rsidR="009241EE" w:rsidRPr="00610F1F" w:rsidRDefault="009241EE" w:rsidP="00ED3E3F">
            <w:pPr>
              <w:pStyle w:val="Nessunaspaziatura"/>
              <w:rPr>
                <w:b/>
                <w:color w:val="FFFFFF" w:themeColor="background1"/>
              </w:rPr>
            </w:pPr>
            <w:r>
              <w:rPr>
                <w:b/>
                <w:color w:val="FFFFFF" w:themeColor="background1"/>
              </w:rPr>
              <w:t>Transazione</w:t>
            </w:r>
          </w:p>
        </w:tc>
        <w:tc>
          <w:tcPr>
            <w:tcW w:w="903" w:type="pct"/>
            <w:shd w:val="clear" w:color="auto" w:fill="00338D"/>
            <w:vAlign w:val="center"/>
          </w:tcPr>
          <w:p w14:paraId="014E0BDA" w14:textId="77777777" w:rsidR="009241EE" w:rsidRPr="00610F1F" w:rsidRDefault="009241EE" w:rsidP="00ED3E3F">
            <w:pPr>
              <w:pStyle w:val="Nessunaspaziatura"/>
              <w:rPr>
                <w:b/>
                <w:color w:val="FFFFFF" w:themeColor="background1"/>
              </w:rPr>
            </w:pPr>
            <w:r>
              <w:rPr>
                <w:b/>
                <w:color w:val="FFFFFF" w:themeColor="background1"/>
              </w:rPr>
              <w:t>Cedente / Prestatore</w:t>
            </w:r>
          </w:p>
        </w:tc>
        <w:tc>
          <w:tcPr>
            <w:tcW w:w="577" w:type="pct"/>
            <w:shd w:val="clear" w:color="auto" w:fill="00338D"/>
            <w:vAlign w:val="center"/>
          </w:tcPr>
          <w:p w14:paraId="2A294B64" w14:textId="77777777" w:rsidR="009241EE" w:rsidRDefault="009241EE" w:rsidP="00ED3E3F">
            <w:pPr>
              <w:pStyle w:val="Nessunaspaziatura"/>
              <w:rPr>
                <w:b/>
                <w:color w:val="FFFFFF" w:themeColor="background1"/>
              </w:rPr>
            </w:pPr>
            <w:r>
              <w:rPr>
                <w:b/>
                <w:color w:val="FFFFFF" w:themeColor="background1"/>
              </w:rPr>
              <w:t>Paese</w:t>
            </w:r>
          </w:p>
        </w:tc>
        <w:tc>
          <w:tcPr>
            <w:tcW w:w="989" w:type="pct"/>
            <w:shd w:val="clear" w:color="auto" w:fill="00338D"/>
            <w:vAlign w:val="center"/>
          </w:tcPr>
          <w:p w14:paraId="0D3E00B7" w14:textId="77777777" w:rsidR="009241EE" w:rsidRPr="00610F1F" w:rsidRDefault="009241EE" w:rsidP="00ED3E3F">
            <w:pPr>
              <w:pStyle w:val="Nessunaspaziatura"/>
              <w:rPr>
                <w:b/>
                <w:color w:val="FFFFFF" w:themeColor="background1"/>
              </w:rPr>
            </w:pPr>
            <w:r>
              <w:rPr>
                <w:b/>
                <w:color w:val="FFFFFF" w:themeColor="background1"/>
              </w:rPr>
              <w:t>Cessionario / Beneficiario</w:t>
            </w:r>
          </w:p>
        </w:tc>
        <w:tc>
          <w:tcPr>
            <w:tcW w:w="528" w:type="pct"/>
            <w:shd w:val="clear" w:color="auto" w:fill="00338D"/>
            <w:vAlign w:val="center"/>
          </w:tcPr>
          <w:p w14:paraId="1EAE331A" w14:textId="77777777" w:rsidR="009241EE" w:rsidRPr="00610F1F" w:rsidRDefault="009241EE" w:rsidP="00ED3E3F">
            <w:pPr>
              <w:pStyle w:val="Nessunaspaziatura"/>
              <w:rPr>
                <w:b/>
                <w:color w:val="FFFFFF" w:themeColor="background1"/>
              </w:rPr>
            </w:pPr>
            <w:r>
              <w:rPr>
                <w:b/>
                <w:color w:val="FFFFFF" w:themeColor="background1"/>
              </w:rPr>
              <w:t>Paese</w:t>
            </w:r>
          </w:p>
        </w:tc>
        <w:tc>
          <w:tcPr>
            <w:tcW w:w="725" w:type="pct"/>
            <w:shd w:val="clear" w:color="auto" w:fill="00338D"/>
            <w:vAlign w:val="center"/>
          </w:tcPr>
          <w:p w14:paraId="1BEB3AA3" w14:textId="77777777" w:rsidR="009241EE" w:rsidRPr="00610F1F" w:rsidRDefault="009241EE" w:rsidP="00ED3E3F">
            <w:pPr>
              <w:pStyle w:val="Nessunaspaziatura"/>
              <w:rPr>
                <w:b/>
                <w:color w:val="FFFFFF" w:themeColor="background1"/>
              </w:rPr>
            </w:pPr>
            <w:r>
              <w:rPr>
                <w:b/>
                <w:color w:val="FFFFFF" w:themeColor="background1"/>
              </w:rPr>
              <w:t>Importo</w:t>
            </w:r>
          </w:p>
        </w:tc>
      </w:tr>
      <w:tr w:rsidR="009241EE" w14:paraId="7D936674" w14:textId="77777777" w:rsidTr="00ED3E3F">
        <w:tc>
          <w:tcPr>
            <w:tcW w:w="1277" w:type="pct"/>
            <w:vAlign w:val="center"/>
          </w:tcPr>
          <w:p w14:paraId="56244F31" w14:textId="77777777" w:rsidR="009241EE" w:rsidRPr="00610F1F" w:rsidRDefault="009241EE" w:rsidP="00ED3E3F">
            <w:pPr>
              <w:pStyle w:val="Nessunaspaziatura"/>
              <w:rPr>
                <w:b/>
              </w:rPr>
            </w:pPr>
            <w:r>
              <w:rPr>
                <w:b/>
              </w:rPr>
              <w:t>Cessioni di componenti</w:t>
            </w:r>
          </w:p>
        </w:tc>
        <w:tc>
          <w:tcPr>
            <w:tcW w:w="903" w:type="pct"/>
            <w:vAlign w:val="center"/>
          </w:tcPr>
          <w:p w14:paraId="49FEEB7F" w14:textId="77777777" w:rsidR="009241EE" w:rsidRDefault="009241EE" w:rsidP="00ED3E3F">
            <w:pPr>
              <w:pStyle w:val="Nessunaspaziatura"/>
            </w:pPr>
            <w:r>
              <w:t>Vimercati S.p.A.</w:t>
            </w:r>
          </w:p>
        </w:tc>
        <w:tc>
          <w:tcPr>
            <w:tcW w:w="577" w:type="pct"/>
            <w:vAlign w:val="center"/>
          </w:tcPr>
          <w:p w14:paraId="539D3D74" w14:textId="77777777" w:rsidR="009241EE" w:rsidRDefault="009241EE" w:rsidP="00ED3E3F">
            <w:pPr>
              <w:pStyle w:val="Nessunaspaziatura"/>
            </w:pPr>
            <w:r w:rsidRPr="00EC0E5F">
              <w:t>Italia</w:t>
            </w:r>
          </w:p>
        </w:tc>
        <w:tc>
          <w:tcPr>
            <w:tcW w:w="989" w:type="pct"/>
            <w:vAlign w:val="center"/>
          </w:tcPr>
          <w:p w14:paraId="524B6E92" w14:textId="77777777" w:rsidR="009241EE" w:rsidRDefault="009241EE" w:rsidP="00ED3E3F">
            <w:pPr>
              <w:pStyle w:val="Nessunaspaziatura"/>
            </w:pPr>
            <w:r>
              <w:t>Vimercati East Europe S.r.l.</w:t>
            </w:r>
          </w:p>
        </w:tc>
        <w:tc>
          <w:tcPr>
            <w:tcW w:w="528" w:type="pct"/>
            <w:vAlign w:val="center"/>
          </w:tcPr>
          <w:p w14:paraId="32DDB24E" w14:textId="77777777" w:rsidR="009241EE" w:rsidRDefault="009241EE" w:rsidP="00ED3E3F">
            <w:pPr>
              <w:pStyle w:val="Nessunaspaziatura"/>
            </w:pPr>
            <w:r>
              <w:t>Romania</w:t>
            </w:r>
          </w:p>
        </w:tc>
        <w:tc>
          <w:tcPr>
            <w:tcW w:w="725" w:type="pct"/>
            <w:vAlign w:val="center"/>
          </w:tcPr>
          <w:p w14:paraId="7E0E16F3" w14:textId="5B1FDCA5" w:rsidR="009241EE" w:rsidRDefault="009241EE" w:rsidP="00FB3159">
            <w:pPr>
              <w:pStyle w:val="Nessunaspaziatura"/>
              <w:jc w:val="right"/>
            </w:pPr>
            <w:r>
              <w:t xml:space="preserve">€ </w:t>
            </w:r>
            <w:r w:rsidR="00875176" w:rsidRPr="00875176">
              <w:t xml:space="preserve">32.472.236   </w:t>
            </w:r>
          </w:p>
        </w:tc>
      </w:tr>
      <w:tr w:rsidR="009241EE" w14:paraId="6763C4EC" w14:textId="77777777" w:rsidTr="00ED3E3F">
        <w:tc>
          <w:tcPr>
            <w:tcW w:w="1277" w:type="pct"/>
            <w:vAlign w:val="center"/>
          </w:tcPr>
          <w:p w14:paraId="1ACE6BDA" w14:textId="77777777" w:rsidR="009241EE" w:rsidRPr="00610F1F" w:rsidRDefault="009241EE" w:rsidP="00ED3E3F">
            <w:pPr>
              <w:pStyle w:val="Nessunaspaziatura"/>
              <w:rPr>
                <w:b/>
              </w:rPr>
            </w:pPr>
            <w:r>
              <w:rPr>
                <w:b/>
              </w:rPr>
              <w:t>Servizi funzionali</w:t>
            </w:r>
          </w:p>
        </w:tc>
        <w:tc>
          <w:tcPr>
            <w:tcW w:w="903" w:type="pct"/>
            <w:vAlign w:val="center"/>
          </w:tcPr>
          <w:p w14:paraId="7C0C3979" w14:textId="77777777" w:rsidR="009241EE" w:rsidRDefault="009241EE" w:rsidP="00ED3E3F">
            <w:pPr>
              <w:pStyle w:val="Nessunaspaziatura"/>
            </w:pPr>
            <w:r>
              <w:t>Vimercati S.p.A.</w:t>
            </w:r>
          </w:p>
        </w:tc>
        <w:tc>
          <w:tcPr>
            <w:tcW w:w="577" w:type="pct"/>
            <w:vAlign w:val="center"/>
          </w:tcPr>
          <w:p w14:paraId="7C05C865" w14:textId="77777777" w:rsidR="009241EE" w:rsidRDefault="009241EE" w:rsidP="00ED3E3F">
            <w:pPr>
              <w:pStyle w:val="Nessunaspaziatura"/>
            </w:pPr>
            <w:r w:rsidRPr="00EC0E5F">
              <w:t>Italia</w:t>
            </w:r>
          </w:p>
        </w:tc>
        <w:tc>
          <w:tcPr>
            <w:tcW w:w="989" w:type="pct"/>
            <w:vAlign w:val="center"/>
          </w:tcPr>
          <w:p w14:paraId="04E5CB33" w14:textId="77777777" w:rsidR="009241EE" w:rsidRDefault="009241EE" w:rsidP="00ED3E3F">
            <w:pPr>
              <w:pStyle w:val="Nessunaspaziatura"/>
            </w:pPr>
            <w:r>
              <w:t>Vimercati East Europe S.r.l.</w:t>
            </w:r>
          </w:p>
        </w:tc>
        <w:tc>
          <w:tcPr>
            <w:tcW w:w="528" w:type="pct"/>
            <w:vAlign w:val="center"/>
          </w:tcPr>
          <w:p w14:paraId="7EB1046B" w14:textId="77777777" w:rsidR="009241EE" w:rsidRDefault="009241EE" w:rsidP="00ED3E3F">
            <w:pPr>
              <w:pStyle w:val="Nessunaspaziatura"/>
            </w:pPr>
            <w:r>
              <w:t>Romania</w:t>
            </w:r>
          </w:p>
        </w:tc>
        <w:tc>
          <w:tcPr>
            <w:tcW w:w="725" w:type="pct"/>
            <w:vAlign w:val="center"/>
          </w:tcPr>
          <w:p w14:paraId="6803731B" w14:textId="7060888B" w:rsidR="009241EE" w:rsidRDefault="009241EE" w:rsidP="00FB3159">
            <w:pPr>
              <w:pStyle w:val="Nessunaspaziatura"/>
              <w:jc w:val="right"/>
            </w:pPr>
            <w:r>
              <w:t xml:space="preserve">€ </w:t>
            </w:r>
            <w:r w:rsidR="00875176" w:rsidRPr="00875176">
              <w:t xml:space="preserve">3.730.937   </w:t>
            </w:r>
          </w:p>
        </w:tc>
      </w:tr>
      <w:tr w:rsidR="009241EE" w14:paraId="06DF235A" w14:textId="77777777" w:rsidTr="00ED3E3F">
        <w:tc>
          <w:tcPr>
            <w:tcW w:w="1277" w:type="pct"/>
            <w:vAlign w:val="center"/>
          </w:tcPr>
          <w:p w14:paraId="79868412" w14:textId="77777777" w:rsidR="009241EE" w:rsidRPr="00610F1F" w:rsidRDefault="009241EE" w:rsidP="00ED3E3F">
            <w:pPr>
              <w:pStyle w:val="Nessunaspaziatura"/>
              <w:rPr>
                <w:b/>
              </w:rPr>
            </w:pPr>
            <w:r>
              <w:rPr>
                <w:b/>
              </w:rPr>
              <w:t>Locazione di macchinari e stampi</w:t>
            </w:r>
          </w:p>
        </w:tc>
        <w:tc>
          <w:tcPr>
            <w:tcW w:w="903" w:type="pct"/>
            <w:vAlign w:val="center"/>
          </w:tcPr>
          <w:p w14:paraId="3885ADC9" w14:textId="77777777" w:rsidR="009241EE" w:rsidRDefault="009241EE" w:rsidP="00ED3E3F">
            <w:pPr>
              <w:pStyle w:val="Nessunaspaziatura"/>
            </w:pPr>
            <w:r>
              <w:t>Vimercati S.p.A.</w:t>
            </w:r>
          </w:p>
        </w:tc>
        <w:tc>
          <w:tcPr>
            <w:tcW w:w="577" w:type="pct"/>
            <w:vAlign w:val="center"/>
          </w:tcPr>
          <w:p w14:paraId="7B68CC9C" w14:textId="77777777" w:rsidR="009241EE" w:rsidRDefault="009241EE" w:rsidP="00ED3E3F">
            <w:pPr>
              <w:pStyle w:val="Nessunaspaziatura"/>
            </w:pPr>
            <w:r w:rsidRPr="00EC0E5F">
              <w:t>Italia</w:t>
            </w:r>
          </w:p>
        </w:tc>
        <w:tc>
          <w:tcPr>
            <w:tcW w:w="989" w:type="pct"/>
            <w:vAlign w:val="center"/>
          </w:tcPr>
          <w:p w14:paraId="7E7E7FA5" w14:textId="77777777" w:rsidR="009241EE" w:rsidRDefault="009241EE" w:rsidP="00ED3E3F">
            <w:pPr>
              <w:pStyle w:val="Nessunaspaziatura"/>
            </w:pPr>
            <w:r>
              <w:t>Vimercati East Europe S.r.l.</w:t>
            </w:r>
          </w:p>
        </w:tc>
        <w:tc>
          <w:tcPr>
            <w:tcW w:w="528" w:type="pct"/>
            <w:vAlign w:val="center"/>
          </w:tcPr>
          <w:p w14:paraId="55F3CA43" w14:textId="77777777" w:rsidR="009241EE" w:rsidRDefault="009241EE" w:rsidP="00ED3E3F">
            <w:pPr>
              <w:pStyle w:val="Nessunaspaziatura"/>
            </w:pPr>
            <w:r>
              <w:t>Romania</w:t>
            </w:r>
          </w:p>
        </w:tc>
        <w:tc>
          <w:tcPr>
            <w:tcW w:w="725" w:type="pct"/>
            <w:vAlign w:val="center"/>
          </w:tcPr>
          <w:p w14:paraId="04A346C8" w14:textId="7455EE2F" w:rsidR="009241EE" w:rsidRDefault="009241EE" w:rsidP="00FB3159">
            <w:pPr>
              <w:pStyle w:val="Nessunaspaziatura"/>
              <w:jc w:val="right"/>
            </w:pPr>
            <w:r>
              <w:t>€</w:t>
            </w:r>
            <w:r w:rsidR="00FB3159">
              <w:t xml:space="preserve"> </w:t>
            </w:r>
            <w:r w:rsidR="00875176" w:rsidRPr="00875176">
              <w:t xml:space="preserve">525.000   </w:t>
            </w:r>
          </w:p>
        </w:tc>
      </w:tr>
      <w:tr w:rsidR="009241EE" w14:paraId="3362B985" w14:textId="77777777" w:rsidTr="00ED3E3F">
        <w:tc>
          <w:tcPr>
            <w:tcW w:w="1277" w:type="pct"/>
            <w:vAlign w:val="center"/>
          </w:tcPr>
          <w:p w14:paraId="395BEC1E" w14:textId="77777777" w:rsidR="009241EE" w:rsidRPr="00610F1F" w:rsidRDefault="009241EE" w:rsidP="00ED3E3F">
            <w:pPr>
              <w:pStyle w:val="Nessunaspaziatura"/>
              <w:rPr>
                <w:b/>
              </w:rPr>
            </w:pPr>
            <w:r>
              <w:rPr>
                <w:b/>
              </w:rPr>
              <w:t xml:space="preserve">Licenza di produzione e </w:t>
            </w:r>
            <w:r w:rsidRPr="00610F1F">
              <w:rPr>
                <w:b/>
                <w:i/>
              </w:rPr>
              <w:t>know-how</w:t>
            </w:r>
          </w:p>
        </w:tc>
        <w:tc>
          <w:tcPr>
            <w:tcW w:w="903" w:type="pct"/>
            <w:vAlign w:val="center"/>
          </w:tcPr>
          <w:p w14:paraId="167E0C20" w14:textId="77777777" w:rsidR="009241EE" w:rsidRDefault="009241EE" w:rsidP="00ED3E3F">
            <w:pPr>
              <w:pStyle w:val="Nessunaspaziatura"/>
            </w:pPr>
            <w:r>
              <w:t>Vimercati S.p.A.</w:t>
            </w:r>
          </w:p>
        </w:tc>
        <w:tc>
          <w:tcPr>
            <w:tcW w:w="577" w:type="pct"/>
            <w:vAlign w:val="center"/>
          </w:tcPr>
          <w:p w14:paraId="7CA3D733" w14:textId="77777777" w:rsidR="009241EE" w:rsidRDefault="009241EE" w:rsidP="00ED3E3F">
            <w:pPr>
              <w:pStyle w:val="Nessunaspaziatura"/>
            </w:pPr>
            <w:r w:rsidRPr="00EC0E5F">
              <w:t>Italia</w:t>
            </w:r>
          </w:p>
        </w:tc>
        <w:tc>
          <w:tcPr>
            <w:tcW w:w="989" w:type="pct"/>
            <w:vAlign w:val="center"/>
          </w:tcPr>
          <w:p w14:paraId="3483CCD8" w14:textId="77777777" w:rsidR="009241EE" w:rsidRDefault="009241EE" w:rsidP="00ED3E3F">
            <w:pPr>
              <w:pStyle w:val="Nessunaspaziatura"/>
            </w:pPr>
            <w:r>
              <w:t>Vimercati East Europe S.r.l.</w:t>
            </w:r>
          </w:p>
        </w:tc>
        <w:tc>
          <w:tcPr>
            <w:tcW w:w="528" w:type="pct"/>
            <w:vAlign w:val="center"/>
          </w:tcPr>
          <w:p w14:paraId="3F564420" w14:textId="77777777" w:rsidR="009241EE" w:rsidRDefault="009241EE" w:rsidP="00ED3E3F">
            <w:pPr>
              <w:pStyle w:val="Nessunaspaziatura"/>
            </w:pPr>
            <w:r>
              <w:t>Romania</w:t>
            </w:r>
          </w:p>
        </w:tc>
        <w:tc>
          <w:tcPr>
            <w:tcW w:w="725" w:type="pct"/>
            <w:vAlign w:val="center"/>
          </w:tcPr>
          <w:p w14:paraId="6B80484E" w14:textId="454EF131" w:rsidR="009241EE" w:rsidRDefault="009241EE" w:rsidP="00FB3159">
            <w:pPr>
              <w:pStyle w:val="Nessunaspaziatura"/>
              <w:jc w:val="right"/>
            </w:pPr>
            <w:r>
              <w:t>€</w:t>
            </w:r>
            <w:r w:rsidR="00FB3159">
              <w:t xml:space="preserve"> </w:t>
            </w:r>
            <w:r w:rsidR="00875176" w:rsidRPr="00875176">
              <w:t xml:space="preserve">301.140   </w:t>
            </w:r>
          </w:p>
        </w:tc>
      </w:tr>
    </w:tbl>
    <w:p w14:paraId="6D73ED6B" w14:textId="77777777" w:rsidR="009241EE" w:rsidRDefault="009241EE" w:rsidP="009241EE">
      <w:pPr>
        <w:keepNext/>
        <w:autoSpaceDE w:val="0"/>
        <w:autoSpaceDN w:val="0"/>
        <w:adjustRightInd w:val="0"/>
        <w:rPr>
          <w:rFonts w:cs="Tahoma"/>
        </w:rPr>
      </w:pPr>
      <w:r>
        <w:rPr>
          <w:rFonts w:cs="Tahoma"/>
        </w:rPr>
        <w:lastRenderedPageBreak/>
        <w:t>Nella figura seguente vengono presentati i flussi della transazione.</w:t>
      </w:r>
    </w:p>
    <w:p w14:paraId="1368145D" w14:textId="2ECDE541" w:rsidR="009241EE" w:rsidRPr="00510DCE" w:rsidRDefault="000C0C11" w:rsidP="009241EE">
      <w:pPr>
        <w:keepNext/>
        <w:spacing w:after="40"/>
        <w:rPr>
          <w:b/>
          <w:sz w:val="18"/>
          <w:lang w:eastAsia="ja-JP"/>
        </w:rPr>
      </w:pPr>
      <w:r w:rsidRPr="00E875F6">
        <w:rPr>
          <w:b/>
          <w:noProof/>
          <w:sz w:val="18"/>
          <w:lang w:eastAsia="it-IT"/>
        </w:rPr>
        <mc:AlternateContent>
          <mc:Choice Requires="wpg">
            <w:drawing>
              <wp:anchor distT="0" distB="0" distL="114300" distR="114300" simplePos="0" relativeHeight="251680768" behindDoc="0" locked="0" layoutInCell="1" allowOverlap="1" wp14:anchorId="4348F124" wp14:editId="67BFB3CF">
                <wp:simplePos x="0" y="0"/>
                <wp:positionH relativeFrom="column">
                  <wp:posOffset>16510</wp:posOffset>
                </wp:positionH>
                <wp:positionV relativeFrom="paragraph">
                  <wp:posOffset>266700</wp:posOffset>
                </wp:positionV>
                <wp:extent cx="5039360" cy="4678680"/>
                <wp:effectExtent l="0" t="0" r="27940" b="26670"/>
                <wp:wrapTopAndBottom/>
                <wp:docPr id="116" name="Gruppo 29"/>
                <wp:cNvGraphicFramePr/>
                <a:graphic xmlns:a="http://schemas.openxmlformats.org/drawingml/2006/main">
                  <a:graphicData uri="http://schemas.microsoft.com/office/word/2010/wordprocessingGroup">
                    <wpg:wgp>
                      <wpg:cNvGrpSpPr/>
                      <wpg:grpSpPr>
                        <a:xfrm>
                          <a:off x="0" y="0"/>
                          <a:ext cx="5039360" cy="4678680"/>
                          <a:chOff x="0" y="0"/>
                          <a:chExt cx="5039497" cy="4679092"/>
                        </a:xfrm>
                      </wpg:grpSpPr>
                      <wps:wsp>
                        <wps:cNvPr id="117" name="Rettangolo 117"/>
                        <wps:cNvSpPr/>
                        <wps:spPr>
                          <a:xfrm>
                            <a:off x="156519" y="1511011"/>
                            <a:ext cx="1227438" cy="1652318"/>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7247BE4" w14:textId="77777777" w:rsidR="00A56D1A" w:rsidRPr="00D16900" w:rsidRDefault="00A56D1A" w:rsidP="000C0C11">
                              <w:pPr>
                                <w:pStyle w:val="NormaleWeb"/>
                                <w:spacing w:before="0" w:beforeAutospacing="0" w:after="0" w:afterAutospacing="0"/>
                                <w:jc w:val="center"/>
                              </w:pPr>
                              <w:r w:rsidRPr="00D16900">
                                <w:rPr>
                                  <w:bCs/>
                                  <w:color w:val="000000" w:themeColor="text1"/>
                                  <w:kern w:val="24"/>
                                  <w:sz w:val="20"/>
                                  <w:szCs w:val="20"/>
                                </w:rPr>
                                <w:t>Vimercati S.p.A.</w:t>
                              </w:r>
                            </w:p>
                          </w:txbxContent>
                        </wps:txbx>
                        <wps:bodyPr rtlCol="0" anchor="ctr"/>
                      </wps:wsp>
                      <wps:wsp>
                        <wps:cNvPr id="118" name="Rettangolo 118"/>
                        <wps:cNvSpPr/>
                        <wps:spPr>
                          <a:xfrm>
                            <a:off x="3645245" y="1511011"/>
                            <a:ext cx="1227438" cy="1652318"/>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DB19D6A" w14:textId="77777777" w:rsidR="00A56D1A" w:rsidRDefault="00A56D1A" w:rsidP="000C0C11">
                              <w:pPr>
                                <w:pStyle w:val="NormaleWeb"/>
                                <w:spacing w:before="0" w:beforeAutospacing="0" w:after="0" w:afterAutospacing="0"/>
                                <w:jc w:val="center"/>
                              </w:pPr>
                              <w:r>
                                <w:rPr>
                                  <w:color w:val="000000" w:themeColor="text1"/>
                                  <w:kern w:val="24"/>
                                  <w:sz w:val="20"/>
                                  <w:szCs w:val="20"/>
                                </w:rPr>
                                <w:t>Vimercati East Europe S.r.l</w:t>
                              </w:r>
                            </w:p>
                          </w:txbxContent>
                        </wps:txbx>
                        <wps:bodyPr rtlCol="0" anchor="ctr"/>
                      </wps:wsp>
                      <wps:wsp>
                        <wps:cNvPr id="119" name="Rettangolo 119"/>
                        <wps:cNvSpPr/>
                        <wps:spPr>
                          <a:xfrm>
                            <a:off x="0" y="0"/>
                            <a:ext cx="5039497" cy="46790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Ovale 120"/>
                        <wps:cNvSpPr/>
                        <wps:spPr>
                          <a:xfrm>
                            <a:off x="278028" y="168873"/>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1F0BF34" w14:textId="77777777" w:rsidR="00A56D1A" w:rsidRDefault="00A56D1A" w:rsidP="000C0C11">
                              <w:pPr>
                                <w:pStyle w:val="NormaleWeb"/>
                                <w:spacing w:before="0" w:beforeAutospacing="0" w:after="0" w:afterAutospacing="0"/>
                                <w:jc w:val="center"/>
                              </w:pPr>
                              <w:r>
                                <w:rPr>
                                  <w:color w:val="808080" w:themeColor="background1" w:themeShade="80"/>
                                  <w:kern w:val="24"/>
                                  <w:sz w:val="16"/>
                                  <w:szCs w:val="16"/>
                                </w:rPr>
                                <w:t>Fornitori materie prime e componenti</w:t>
                              </w:r>
                            </w:p>
                          </w:txbxContent>
                        </wps:txbx>
                        <wps:bodyPr rtlCol="0" anchor="ctr"/>
                      </wps:wsp>
                      <wps:wsp>
                        <wps:cNvPr id="121" name="Ovale 121"/>
                        <wps:cNvSpPr/>
                        <wps:spPr>
                          <a:xfrm>
                            <a:off x="278028" y="3632255"/>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BE4039C" w14:textId="77777777" w:rsidR="00A56D1A" w:rsidRDefault="00A56D1A" w:rsidP="000C0C11">
                              <w:pPr>
                                <w:pStyle w:val="NormaleWeb"/>
                                <w:spacing w:before="0" w:beforeAutospacing="0" w:after="0" w:afterAutospacing="0"/>
                                <w:jc w:val="center"/>
                              </w:pPr>
                              <w:r>
                                <w:rPr>
                                  <w:color w:val="808080" w:themeColor="background1" w:themeShade="80"/>
                                  <w:kern w:val="24"/>
                                  <w:sz w:val="16"/>
                                  <w:szCs w:val="16"/>
                                </w:rPr>
                                <w:t>Clienti</w:t>
                              </w:r>
                            </w:p>
                          </w:txbxContent>
                        </wps:txbx>
                        <wps:bodyPr rtlCol="0" anchor="ctr"/>
                      </wps:wsp>
                      <wps:wsp>
                        <wps:cNvPr id="122" name="Connettore 2 122"/>
                        <wps:cNvCnPr>
                          <a:stCxn id="120" idx="4"/>
                          <a:endCxn id="117" idx="0"/>
                        </wps:cNvCnPr>
                        <wps:spPr>
                          <a:xfrm>
                            <a:off x="768180" y="1042085"/>
                            <a:ext cx="2058" cy="468926"/>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Connettore 2 123"/>
                        <wps:cNvCnPr>
                          <a:stCxn id="117" idx="2"/>
                          <a:endCxn id="121" idx="0"/>
                        </wps:cNvCnPr>
                        <wps:spPr>
                          <a:xfrm flipH="1">
                            <a:off x="768180" y="3163329"/>
                            <a:ext cx="2058" cy="468926"/>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Connettore 2 124"/>
                        <wps:cNvCnPr/>
                        <wps:spPr>
                          <a:xfrm flipV="1">
                            <a:off x="1392194" y="1888691"/>
                            <a:ext cx="2261288" cy="12356"/>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5" name="Connettore 2 125"/>
                        <wps:cNvCnPr/>
                        <wps:spPr>
                          <a:xfrm>
                            <a:off x="1400431" y="2733700"/>
                            <a:ext cx="226128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Rettangolo 126"/>
                        <wps:cNvSpPr/>
                        <wps:spPr>
                          <a:xfrm>
                            <a:off x="1935893" y="2407272"/>
                            <a:ext cx="1194487" cy="660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6B49B9" w14:textId="4686D9A8" w:rsidR="00A56D1A" w:rsidRDefault="00A56D1A" w:rsidP="000C0C11">
                              <w:pPr>
                                <w:pStyle w:val="NormaleWeb"/>
                                <w:spacing w:before="0" w:beforeAutospacing="0" w:after="0" w:afterAutospacing="0"/>
                                <w:jc w:val="center"/>
                              </w:pPr>
                              <w:r>
                                <w:rPr>
                                  <w:color w:val="000000" w:themeColor="text1"/>
                                  <w:kern w:val="24"/>
                                  <w:sz w:val="16"/>
                                  <w:szCs w:val="16"/>
                                </w:rPr>
                                <w:t xml:space="preserve">Servizi funzionali, locazioni, licenze, </w:t>
                              </w:r>
                              <w:r>
                                <w:rPr>
                                  <w:i/>
                                  <w:iCs/>
                                  <w:color w:val="000000" w:themeColor="text1"/>
                                  <w:kern w:val="24"/>
                                  <w:sz w:val="16"/>
                                  <w:szCs w:val="16"/>
                                </w:rPr>
                                <w:t>know-how</w:t>
                              </w:r>
                              <w:r>
                                <w:rPr>
                                  <w:color w:val="000000" w:themeColor="text1"/>
                                  <w:kern w:val="24"/>
                                  <w:sz w:val="16"/>
                                  <w:szCs w:val="16"/>
                                </w:rPr>
                                <w:t xml:space="preserve"> per produzione </w:t>
                              </w:r>
                            </w:p>
                          </w:txbxContent>
                        </wps:txbx>
                        <wps:bodyPr rtlCol="0" anchor="ctr"/>
                      </wps:wsp>
                      <wps:wsp>
                        <wps:cNvPr id="127" name="Rettangolo 127"/>
                        <wps:cNvSpPr/>
                        <wps:spPr>
                          <a:xfrm>
                            <a:off x="1935893" y="1606544"/>
                            <a:ext cx="1194487" cy="57665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7EDB5" w14:textId="3E58E3D0" w:rsidR="00A56D1A" w:rsidRDefault="00A56D1A" w:rsidP="000C0C11">
                              <w:pPr>
                                <w:pStyle w:val="NormaleWeb"/>
                                <w:spacing w:before="0" w:beforeAutospacing="0" w:after="0" w:afterAutospacing="0"/>
                                <w:jc w:val="center"/>
                              </w:pPr>
                              <w:r>
                                <w:rPr>
                                  <w:color w:val="000000" w:themeColor="text1"/>
                                  <w:kern w:val="24"/>
                                  <w:sz w:val="16"/>
                                  <w:szCs w:val="16"/>
                                </w:rPr>
                                <w:t>Cessione componenti da assemblare</w:t>
                              </w:r>
                            </w:p>
                          </w:txbxContent>
                        </wps:txbx>
                        <wps:bodyPr rtlCol="0" anchor="ctr"/>
                      </wps:wsp>
                      <wps:wsp>
                        <wps:cNvPr id="128" name="Ovale 128"/>
                        <wps:cNvSpPr/>
                        <wps:spPr>
                          <a:xfrm>
                            <a:off x="3768812" y="3636769"/>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5673F19" w14:textId="73287DF9" w:rsidR="00A56D1A" w:rsidRDefault="00A56D1A" w:rsidP="000C0C11">
                              <w:pPr>
                                <w:pStyle w:val="NormaleWeb"/>
                                <w:spacing w:before="0" w:beforeAutospacing="0" w:after="0" w:afterAutospacing="0"/>
                                <w:jc w:val="center"/>
                              </w:pPr>
                              <w:r>
                                <w:rPr>
                                  <w:color w:val="808080" w:themeColor="background1" w:themeShade="80"/>
                                  <w:kern w:val="24"/>
                                  <w:sz w:val="16"/>
                                  <w:szCs w:val="16"/>
                                </w:rPr>
                                <w:t>Clienti locali</w:t>
                              </w:r>
                            </w:p>
                          </w:txbxContent>
                        </wps:txbx>
                        <wps:bodyPr rtlCol="0" anchor="ctr"/>
                      </wps:wsp>
                      <wps:wsp>
                        <wps:cNvPr id="129" name="Connettore 2 129"/>
                        <wps:cNvCnPr>
                          <a:stCxn id="118" idx="2"/>
                          <a:endCxn id="128" idx="0"/>
                        </wps:cNvCnPr>
                        <wps:spPr>
                          <a:xfrm>
                            <a:off x="4258964" y="3163329"/>
                            <a:ext cx="0" cy="473440"/>
                          </a:xfrm>
                          <a:prstGeom prst="straightConnector1">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348F124" id="Gruppo 29" o:spid="_x0000_s1039" style="position:absolute;left:0;text-align:left;margin-left:1.3pt;margin-top:21pt;width:396.8pt;height:368.4pt;z-index:251680768" coordsize="50394,46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">
                <v:rect id="Rettangolo 117" o:spid="_x0000_s1040" style="position:absolute;left:1565;top:15110;width:12274;height:165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ihkMAA&#10;AADcAAAADwAAAGRycy9kb3ducmV2LnhtbERP24rCMBB9F/yHMMK+yJqq4Eo1yrIg+FLBywcMzdgU&#10;m0lsUu3+/WZB8G0O5zrrbW8b8aA21I4VTCcZCOLS6ZorBZfz7nMJIkRkjY1jUvBLAbab4WCNuXZP&#10;PtLjFCuRQjjkqMDE6HMpQ2nIYpg4T5y4q2stxgTbSuoWnyncNnKWZQtpsebUYNDTj6Hyduqsgr5b&#10;3u9Fd7OG5kUznkV/KLxX6mPUf69AROrjW/xy73WaP/2C/2fS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ZihkMAAAADcAAAADwAAAAAAAAAAAAAAAACYAgAAZHJzL2Rvd25y&#10;ZXYueG1sUEsFBgAAAAAEAAQA9QAAAIUDAAAAAA==&#10;" filled="f" strokecolor="black [3213]">
                  <v:textbox>
                    <w:txbxContent>
                      <w:p w14:paraId="07247BE4" w14:textId="77777777" w:rsidR="00A56D1A" w:rsidRPr="00D16900" w:rsidRDefault="00A56D1A" w:rsidP="000C0C11">
                        <w:pPr>
                          <w:pStyle w:val="NormaleWeb"/>
                          <w:spacing w:before="0" w:beforeAutospacing="0" w:after="0" w:afterAutospacing="0"/>
                          <w:jc w:val="center"/>
                        </w:pPr>
                        <w:r w:rsidRPr="00D16900">
                          <w:rPr>
                            <w:bCs/>
                            <w:color w:val="000000" w:themeColor="text1"/>
                            <w:kern w:val="24"/>
                            <w:sz w:val="20"/>
                            <w:szCs w:val="20"/>
                          </w:rPr>
                          <w:t>Vimercati S.p.A.</w:t>
                        </w:r>
                      </w:p>
                    </w:txbxContent>
                  </v:textbox>
                </v:rect>
                <v:rect id="Rettangolo 118" o:spid="_x0000_s1041" style="position:absolute;left:36452;top:15110;width:12274;height:165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c14sMA&#10;AADcAAAADwAAAGRycy9kb3ducmV2LnhtbESPQWsCMRCF70L/QxihF6lZLYhsjSKFQi8rVPsDhs10&#10;s7iZxE1Wt//eOQjeZnhv3vtmsxt9p67UpzawgcW8AEVcB9tyY+D39PW2BpUyssUuMBn4pwS77ctk&#10;g6UNN/6h6zE3SkI4lWjA5RxLrVPtyGOah0gs2l/oPWZZ+0bbHm8S7ju9LIqV9tiyNDiM9OmoPh8H&#10;b2Ac1pdLNZy9o/eqmy1zPFQxGvM6HfcfoDKN+Wl+XH9bwV8IrT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c14sMAAADcAAAADwAAAAAAAAAAAAAAAACYAgAAZHJzL2Rv&#10;d25yZXYueG1sUEsFBgAAAAAEAAQA9QAAAIgDAAAAAA==&#10;" filled="f" strokecolor="black [3213]">
                  <v:textbox>
                    <w:txbxContent>
                      <w:p w14:paraId="1DB19D6A" w14:textId="77777777" w:rsidR="00A56D1A" w:rsidRDefault="00A56D1A" w:rsidP="000C0C11">
                        <w:pPr>
                          <w:pStyle w:val="NormaleWeb"/>
                          <w:spacing w:before="0" w:beforeAutospacing="0" w:after="0" w:afterAutospacing="0"/>
                          <w:jc w:val="center"/>
                        </w:pPr>
                        <w:r>
                          <w:rPr>
                            <w:color w:val="000000" w:themeColor="text1"/>
                            <w:kern w:val="24"/>
                            <w:sz w:val="20"/>
                            <w:szCs w:val="20"/>
                          </w:rPr>
                          <w:t>Vimercati East Europe S.r.l</w:t>
                        </w:r>
                      </w:p>
                    </w:txbxContent>
                  </v:textbox>
                </v:rect>
                <v:rect id="Rettangolo 119" o:spid="_x0000_s1042" style="position:absolute;width:50394;height:467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pEKMQA&#10;AADcAAAADwAAAGRycy9kb3ducmV2LnhtbERPTU/CQBC9m/gfNmPChcC2HowWFmI0mh4MiSgHbkN3&#10;6Ba6s013gPrvXRITb/PyPme+HHyrztTHJrCBfJqBIq6Cbbg28P31NnkEFQXZYhuYDPxQhOXi9maO&#10;hQ0X/qTzWmqVQjgWaMCJdIXWsXLkMU5DR5y4feg9SoJ9rW2PlxTuW32fZQ/aY8OpwWFHL46q4/rk&#10;DWzLQepD/i4fRxxvxqXbVavXnTGju+F5BkpokH/xn7u0aX7+BNdn0gV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qRCjEAAAA3AAAAA8AAAAAAAAAAAAAAAAAmAIAAGRycy9k&#10;b3ducmV2LnhtbFBLBQYAAAAABAAEAPUAAACJAwAAAAA=&#10;" filled="f" strokecolor="black [3213]" strokeweight="1pt"/>
                <v:oval id="Ovale 120" o:spid="_x0000_s1043" style="position:absolute;left:2780;top:1688;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fR8gA&#10;AADcAAAADwAAAGRycy9kb3ducmV2LnhtbESPT2sCQQzF70K/w5BCL6KztVRldZQiaAtSWv8cPIad&#10;dHdxJ7PMjLrtp28Ohd4S3st7v8yXnWvUlUKsPRt4HGagiAtvay4NHA/rwRRUTMgWG89k4JsiLBd3&#10;vTnm1t94R9d9KpWEcMzRQJVSm2sdi4ocxqFviUX78sFhkjWU2ga8Sbhr9CjLxtphzdJQYUuriorz&#10;/uIMvI9/PrfHUB+ewvNp/br62J43/YkxD/fdywxUoi79m/+u36zgjwRfnpEJ9O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wh9HyAAAANwAAAAPAAAAAAAAAAAAAAAAAJgCAABk&#10;cnMvZG93bnJldi54bWxQSwUGAAAAAAQABAD1AAAAjQMAAAAA&#10;" filled="f" strokecolor="#a5a5a5 [2092]" strokeweight="1pt">
                  <v:stroke dashstyle="dash" joinstyle="miter"/>
                  <v:textbox>
                    <w:txbxContent>
                      <w:p w14:paraId="41F0BF34" w14:textId="77777777" w:rsidR="00A56D1A" w:rsidRDefault="00A56D1A" w:rsidP="000C0C11">
                        <w:pPr>
                          <w:pStyle w:val="NormaleWeb"/>
                          <w:spacing w:before="0" w:beforeAutospacing="0" w:after="0" w:afterAutospacing="0"/>
                          <w:jc w:val="center"/>
                        </w:pPr>
                        <w:r>
                          <w:rPr>
                            <w:color w:val="808080" w:themeColor="background1" w:themeShade="80"/>
                            <w:kern w:val="24"/>
                            <w:sz w:val="16"/>
                            <w:szCs w:val="16"/>
                          </w:rPr>
                          <w:t>Fornitori materie prime e componenti</w:t>
                        </w:r>
                      </w:p>
                    </w:txbxContent>
                  </v:textbox>
                </v:oval>
                <v:oval id="Ovale 121" o:spid="_x0000_s1044" style="position:absolute;left:2780;top:36322;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63MUA&#10;AADcAAAADwAAAGRycy9kb3ducmV2LnhtbERPS2sCMRC+C/0PYQq9iGZVqrIapQhqQaT1cfA4bKa7&#10;i5vJkqS69tcboeBtPr7nTOeNqcSFnC8tK+h1ExDEmdUl5wqOh2VnDMIHZI2VZVJwIw/z2Utriqm2&#10;V97RZR9yEUPYp6igCKFOpfRZQQZ919bEkfuxzmCI0OVSO7zGcFPJfpIMpcGSY0OBNS0Kys77X6Ng&#10;O/z73hxdeRi499NyvfjanFftkVJvr83HBESgJjzF/+5PHef3e/B4Jl4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jrrcxQAAANwAAAAPAAAAAAAAAAAAAAAAAJgCAABkcnMv&#10;ZG93bnJldi54bWxQSwUGAAAAAAQABAD1AAAAigMAAAAA&#10;" filled="f" strokecolor="#a5a5a5 [2092]" strokeweight="1pt">
                  <v:stroke dashstyle="dash" joinstyle="miter"/>
                  <v:textbox>
                    <w:txbxContent>
                      <w:p w14:paraId="4BE4039C" w14:textId="77777777" w:rsidR="00A56D1A" w:rsidRDefault="00A56D1A" w:rsidP="000C0C11">
                        <w:pPr>
                          <w:pStyle w:val="NormaleWeb"/>
                          <w:spacing w:before="0" w:beforeAutospacing="0" w:after="0" w:afterAutospacing="0"/>
                          <w:jc w:val="center"/>
                        </w:pPr>
                        <w:r>
                          <w:rPr>
                            <w:color w:val="808080" w:themeColor="background1" w:themeShade="80"/>
                            <w:kern w:val="24"/>
                            <w:sz w:val="16"/>
                            <w:szCs w:val="16"/>
                          </w:rPr>
                          <w:t>Clienti</w:t>
                        </w:r>
                      </w:p>
                    </w:txbxContent>
                  </v:textbox>
                </v:oval>
                <v:shape id="Connettore 2 122" o:spid="_x0000_s1045" type="#_x0000_t32" style="position:absolute;left:7681;top:10420;width:21;height:46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Xed8QAAADcAAAADwAAAGRycy9kb3ducmV2LnhtbERPS2sCMRC+F/wPYYTeauIWpKxmRWoL&#10;UvSgbQ/ehs3so24myya6W3+9EQq9zcf3nMVysI24UOdrxxqmEwWCOHem5lLD1+f70wsIH5ANNo5J&#10;wy95WGajhwWmxvW8p8shlCKGsE9RQxVCm0rp84os+olriSNXuM5iiLArpemwj+G2kYlSM2mx5thQ&#10;YUuvFeWnw9lq+Bh2psi332r2/NO34W2trqvjSevH8bCagwg0hH/xn3tj4vwkgfsz8QKZ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Fd53xAAAANwAAAAPAAAAAAAAAAAA&#10;AAAAAKECAABkcnMvZG93bnJldi54bWxQSwUGAAAAAAQABAD5AAAAkgMAAAAA&#10;" strokecolor="#a5a5a5 [2092]" strokeweight=".5pt">
                  <v:stroke endarrow="block" joinstyle="miter"/>
                </v:shape>
                <v:shape id="Connettore 2 123" o:spid="_x0000_s1046" type="#_x0000_t32" style="position:absolute;left:7681;top:31633;width:21;height:468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jlrcMAAADcAAAADwAAAGRycy9kb3ducmV2LnhtbERPTWvCQBC9C/6HZYTedKMFkdSNFG2L&#10;WGqJleY6ZKdJaHY2ZFeT/PtuQfA2j/c5601vanGl1lWWFcxnEQji3OqKCwXnr9fpCoTzyBpry6Rg&#10;IAebZDxaY6xtxyldT74QIYRdjApK75tYSpeXZNDNbEMcuB/bGvQBtoXULXYh3NRyEUVLabDi0FBi&#10;Q9uS8t/TxSg4Fu792310u8Pwkp6Htx1/ZiZT6mHSPz+B8NT7u/jm3uswf/EI/8+EC2Ty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o5a3DAAAA3AAAAA8AAAAAAAAAAAAA&#10;AAAAoQIAAGRycy9kb3ducmV2LnhtbFBLBQYAAAAABAAEAPkAAACRAwAAAAA=&#10;" strokecolor="#a5a5a5 [2092]" strokeweight=".5pt">
                  <v:stroke endarrow="block" joinstyle="miter"/>
                </v:shape>
                <v:shape id="Connettore 2 124" o:spid="_x0000_s1047" type="#_x0000_t32" style="position:absolute;left:13921;top:18886;width:22613;height:1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b71sEAAADcAAAADwAAAGRycy9kb3ducmV2LnhtbERP32vCMBB+H/g/hBP2NlODjNEZZYiC&#10;KIxaxeejubVlzaUk0Xb/vRkM9nYf389brkfbiTv50DrWMJ9lIIgrZ1quNVzOu5c3ECEiG+wck4Yf&#10;CrBeTZ6WmBs38InuZaxFCuGQo4Ymxj6XMlQNWQwz1xMn7st5izFBX0vjcUjhtpMqy16lxZZTQ4M9&#10;bRqqvsub1XC6Sv9ZqKFU+/K43apDEagotH6ejh/vICKN8V/8596bNF8t4PeZdIF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dvvWwQAAANwAAAAPAAAAAAAAAAAAAAAA&#10;AKECAABkcnMvZG93bnJldi54bWxQSwUGAAAAAAQABAD5AAAAjwMAAAAA&#10;" strokecolor="black [3213]" strokeweight=".5pt">
                  <v:stroke dashstyle="dash" endarrow="block" joinstyle="miter"/>
                </v:shape>
                <v:shape id="Connettore 2 125" o:spid="_x0000_s1048" type="#_x0000_t32" style="position:absolute;left:14004;top:27337;width:226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Pc8QAAADcAAAADwAAAGRycy9kb3ducmV2LnhtbERPS2vCQBC+F/wPywi96aaKj0ZXKYXS&#10;iheN0tbbkJ0mS7OzIbs18d+7gtDbfHzPWa47W4kzNd44VvA0TEAQ504bLhQcD2+DOQgfkDVWjknB&#10;hTysV72HJabatbyncxYKEUPYp6igDKFOpfR5SRb90NXEkftxjcUQYVNI3WAbw20lR0kylRYNx4YS&#10;a3otKf/N/qyC/Pj99Uw786nbsZm919vTdpxtlHrsdy8LEIG68C++uz90nD+awO2ZeI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I9zxAAAANwAAAAPAAAAAAAAAAAA&#10;AAAAAKECAABkcnMvZG93bnJldi54bWxQSwUGAAAAAAQABAD5AAAAkgMAAAAA&#10;" strokecolor="black [3213]" strokeweight=".5pt">
                  <v:stroke endarrow="block" joinstyle="miter"/>
                </v:shape>
                <v:rect id="Rettangolo 126" o:spid="_x0000_s1049" style="position:absolute;left:19358;top:24072;width:11945;height:6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pAi8IA&#10;AADcAAAADwAAAGRycy9kb3ducmV2LnhtbERPS4vCMBC+L/gfwgh7W1NlV6QaRQQfe/CwKngdmmlT&#10;2kxKE2377zcLwt7m43vOatPbWjyp9aVjBdNJAoI4c7rkQsHtuv9YgPABWWPtmBQM5GGzHr2tMNWu&#10;4x96XkIhYgj7FBWYEJpUSp8ZsugnriGOXO5aiyHCtpC6xS6G21rOkmQuLZYcGww2tDOUVZeHVVCd&#10;v6uyOS3y/GCGr27Ae+g/j0q9j/vtEkSgPvyLX+6TjvNnc/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kCLwgAAANwAAAAPAAAAAAAAAAAAAAAAAJgCAABkcnMvZG93&#10;bnJldi54bWxQSwUGAAAAAAQABAD1AAAAhwMAAAAA&#10;" fillcolor="white [3212]" strokecolor="black [3213]" strokeweight=".25pt">
                  <v:textbox>
                    <w:txbxContent>
                      <w:p w14:paraId="056B49B9" w14:textId="4686D9A8" w:rsidR="00A56D1A" w:rsidRDefault="00A56D1A" w:rsidP="000C0C11">
                        <w:pPr>
                          <w:pStyle w:val="NormaleWeb"/>
                          <w:spacing w:before="0" w:beforeAutospacing="0" w:after="0" w:afterAutospacing="0"/>
                          <w:jc w:val="center"/>
                        </w:pPr>
                        <w:r>
                          <w:rPr>
                            <w:color w:val="000000" w:themeColor="text1"/>
                            <w:kern w:val="24"/>
                            <w:sz w:val="16"/>
                            <w:szCs w:val="16"/>
                          </w:rPr>
                          <w:t xml:space="preserve">Servizi funzionali, locazioni, licenze, </w:t>
                        </w:r>
                        <w:r>
                          <w:rPr>
                            <w:i/>
                            <w:iCs/>
                            <w:color w:val="000000" w:themeColor="text1"/>
                            <w:kern w:val="24"/>
                            <w:sz w:val="16"/>
                            <w:szCs w:val="16"/>
                          </w:rPr>
                          <w:t>know-how</w:t>
                        </w:r>
                        <w:r>
                          <w:rPr>
                            <w:color w:val="000000" w:themeColor="text1"/>
                            <w:kern w:val="24"/>
                            <w:sz w:val="16"/>
                            <w:szCs w:val="16"/>
                          </w:rPr>
                          <w:t xml:space="preserve"> per produzione </w:t>
                        </w:r>
                      </w:p>
                    </w:txbxContent>
                  </v:textbox>
                </v:rect>
                <v:rect id="Rettangolo 127" o:spid="_x0000_s1050" style="position:absolute;left:19358;top:16065;width:11945;height:5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lEMMA&#10;AADcAAAADwAAAGRycy9kb3ducmV2LnhtbERPTWvCQBC9C/0PyxR6043SqkQ3QYS29uBBLfQ6ZCfZ&#10;kOxsyG5N8u+7hUJv83ifs89H24o79b52rGC5SEAQF07XXCn4vL3OtyB8QNbYOiYFE3nIs4fZHlPt&#10;Br7Q/RoqEUPYp6jAhNClUvrCkEW/cB1x5ErXWwwR9pXUPQ4x3LZylSRrabHm2GCwo6Ohorl+WwXN&#10;+aOpu9O2LN/M9DJM+BXG53elnh7Hww5EoDH8i//cJx3nrzbw+0y8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blEMMAAADcAAAADwAAAAAAAAAAAAAAAACYAgAAZHJzL2Rv&#10;d25yZXYueG1sUEsFBgAAAAAEAAQA9QAAAIgDAAAAAA==&#10;" fillcolor="white [3212]" strokecolor="black [3213]" strokeweight=".25pt">
                  <v:textbox>
                    <w:txbxContent>
                      <w:p w14:paraId="7FF7EDB5" w14:textId="3E58E3D0" w:rsidR="00A56D1A" w:rsidRDefault="00A56D1A" w:rsidP="000C0C11">
                        <w:pPr>
                          <w:pStyle w:val="NormaleWeb"/>
                          <w:spacing w:before="0" w:beforeAutospacing="0" w:after="0" w:afterAutospacing="0"/>
                          <w:jc w:val="center"/>
                        </w:pPr>
                        <w:r>
                          <w:rPr>
                            <w:color w:val="000000" w:themeColor="text1"/>
                            <w:kern w:val="24"/>
                            <w:sz w:val="16"/>
                            <w:szCs w:val="16"/>
                          </w:rPr>
                          <w:t>Cessione componenti da assemblare</w:t>
                        </w:r>
                      </w:p>
                    </w:txbxContent>
                  </v:textbox>
                </v:rect>
                <v:oval id="Ovale 128" o:spid="_x0000_s1051" style="position:absolute;left:37688;top:36367;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QTQcgA&#10;AADcAAAADwAAAGRycy9kb3ducmV2LnhtbESPT2sCQQzF70K/w5BCL6KztVRldZQiaAtSWv8cPIad&#10;dHdxJ7PMjLrtp28Ohd4S3st7v8yXnWvUlUKsPRt4HGagiAtvay4NHA/rwRRUTMgWG89k4JsiLBd3&#10;vTnm1t94R9d9KpWEcMzRQJVSm2sdi4ocxqFviUX78sFhkjWU2ga8Sbhr9CjLxtphzdJQYUuriorz&#10;/uIMvI9/PrfHUB+ewvNp/br62J43/YkxD/fdywxUoi79m/+u36zgj4RWnpEJ9O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tBNByAAAANwAAAAPAAAAAAAAAAAAAAAAAJgCAABk&#10;cnMvZG93bnJldi54bWxQSwUGAAAAAAQABAD1AAAAjQMAAAAA&#10;" filled="f" strokecolor="#a5a5a5 [2092]" strokeweight="1pt">
                  <v:stroke dashstyle="dash" joinstyle="miter"/>
                  <v:textbox>
                    <w:txbxContent>
                      <w:p w14:paraId="65673F19" w14:textId="73287DF9" w:rsidR="00A56D1A" w:rsidRDefault="00A56D1A" w:rsidP="000C0C11">
                        <w:pPr>
                          <w:pStyle w:val="NormaleWeb"/>
                          <w:spacing w:before="0" w:beforeAutospacing="0" w:after="0" w:afterAutospacing="0"/>
                          <w:jc w:val="center"/>
                        </w:pPr>
                        <w:r>
                          <w:rPr>
                            <w:color w:val="808080" w:themeColor="background1" w:themeShade="80"/>
                            <w:kern w:val="24"/>
                            <w:sz w:val="16"/>
                            <w:szCs w:val="16"/>
                          </w:rPr>
                          <w:t>Clienti locali</w:t>
                        </w:r>
                      </w:p>
                    </w:txbxContent>
                  </v:textbox>
                </v:oval>
                <v:shape id="Connettore 2 129" o:spid="_x0000_s1052" type="#_x0000_t32" style="position:absolute;left:42589;top:31633;width:0;height:47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FMBsQAAADcAAAADwAAAGRycy9kb3ducmV2LnhtbERPS2sCMRC+F/ofwgjeaqKC6GoUaSuI&#10;tAdfB2/DZtxd3UyWTXS3/fVNQfA2H99zZovWluJOtS8ca+j3FAji1JmCMw2H/eptDMIHZIOlY9Lw&#10;Qx4W89eXGSbGNbyl+y5kIoawT1BDHkKVSOnTnCz6nquII3d2tcUQYZ1JU2MTw20pB0qNpMWCY0OO&#10;Fb3nlF53N6th036bc/p1VKPhpanC54f6XZ6uWnc77XIKIlAbnuKHe23i/MEE/p+JF8j5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sUwGxAAAANwAAAAPAAAAAAAAAAAA&#10;AAAAAKECAABkcnMvZG93bnJldi54bWxQSwUGAAAAAAQABAD5AAAAkgMAAAAA&#10;" strokecolor="#a5a5a5 [2092]" strokeweight=".5pt">
                  <v:stroke endarrow="block" joinstyle="miter"/>
                </v:shape>
                <w10:wrap type="topAndBottom"/>
              </v:group>
            </w:pict>
          </mc:Fallback>
        </mc:AlternateContent>
      </w:r>
      <w:r w:rsidR="00BE2B16">
        <w:rPr>
          <w:b/>
          <w:sz w:val="18"/>
          <w:lang w:eastAsia="ja-JP"/>
        </w:rPr>
        <w:t>Figura: Flussi transazione T</w:t>
      </w:r>
      <w:r w:rsidR="00875176">
        <w:rPr>
          <w:b/>
          <w:sz w:val="18"/>
          <w:lang w:eastAsia="ja-JP"/>
        </w:rPr>
        <w:t>2</w:t>
      </w:r>
    </w:p>
    <w:p w14:paraId="1AE1FC3E" w14:textId="67E39AB6" w:rsidR="009241EE" w:rsidRPr="000440ED" w:rsidRDefault="009241EE" w:rsidP="009241EE">
      <w:pPr>
        <w:rPr>
          <w:i/>
          <w:u w:val="single"/>
        </w:rPr>
      </w:pPr>
      <w:r>
        <w:rPr>
          <w:i/>
          <w:u w:val="single"/>
        </w:rPr>
        <w:t>M</w:t>
      </w:r>
      <w:r w:rsidRPr="000440ED">
        <w:rPr>
          <w:i/>
          <w:u w:val="single"/>
        </w:rPr>
        <w:t>otivazioni giuridico economico</w:t>
      </w:r>
    </w:p>
    <w:p w14:paraId="0F237301" w14:textId="77777777" w:rsidR="00683F51" w:rsidRPr="000C0C11" w:rsidRDefault="00683F51" w:rsidP="00683F51">
      <w:pPr>
        <w:keepNext/>
        <w:autoSpaceDE w:val="0"/>
        <w:autoSpaceDN w:val="0"/>
        <w:adjustRightInd w:val="0"/>
        <w:rPr>
          <w:rFonts w:cs="Tahoma"/>
        </w:rPr>
      </w:pPr>
      <w:r w:rsidRPr="000C0C11">
        <w:rPr>
          <w:rFonts w:cs="Tahoma"/>
        </w:rPr>
        <w:t>Le r</w:t>
      </w:r>
      <w:r>
        <w:rPr>
          <w:rFonts w:cs="Tahoma"/>
        </w:rPr>
        <w:t>agioni economico-giuridiche sottostanti la c</w:t>
      </w:r>
      <w:r w:rsidRPr="000C0C11">
        <w:rPr>
          <w:rFonts w:cs="Tahoma"/>
        </w:rPr>
        <w:t>essioni di componenti da assemblare per la pro</w:t>
      </w:r>
      <w:r>
        <w:rPr>
          <w:rFonts w:cs="Tahoma"/>
        </w:rPr>
        <w:t xml:space="preserve">duzione di </w:t>
      </w:r>
      <w:r w:rsidRPr="00A8351F">
        <w:rPr>
          <w:rFonts w:cs="Tahoma"/>
        </w:rPr>
        <w:t>RUKO, PL7</w:t>
      </w:r>
      <w:r>
        <w:rPr>
          <w:rFonts w:cs="Tahoma"/>
        </w:rPr>
        <w:t xml:space="preserve">, </w:t>
      </w:r>
      <w:r w:rsidRPr="00A8351F">
        <w:rPr>
          <w:rFonts w:cs="Tahoma"/>
        </w:rPr>
        <w:t>HKL</w:t>
      </w:r>
      <w:r>
        <w:rPr>
          <w:rFonts w:cs="Tahoma"/>
        </w:rPr>
        <w:t>, DLS, SHZ, BEL 35up e SZF</w:t>
      </w:r>
      <w:r w:rsidRPr="000C0C11">
        <w:rPr>
          <w:rFonts w:cs="Tahoma"/>
        </w:rPr>
        <w:t xml:space="preserve"> a VEE stanno nella necessità di vendere direttamente i menzionati componenti dalla Romania verso il cliente tedesco senza ritornare verso l’Italia, evitando così ulteriori aggravi amministrativi e logistici, oltre che per esplicita richiesta del cliente. </w:t>
      </w:r>
    </w:p>
    <w:p w14:paraId="5DFF9FDD" w14:textId="77777777" w:rsidR="00683F51" w:rsidRPr="000C0C11" w:rsidRDefault="00683F51" w:rsidP="00683F51">
      <w:pPr>
        <w:keepNext/>
        <w:autoSpaceDE w:val="0"/>
        <w:autoSpaceDN w:val="0"/>
        <w:adjustRightInd w:val="0"/>
        <w:rPr>
          <w:rFonts w:cs="Tahoma"/>
        </w:rPr>
      </w:pPr>
      <w:r>
        <w:rPr>
          <w:rFonts w:cs="Tahoma"/>
        </w:rPr>
        <w:t>Con riferimento ai servizi funzionali, trattasi</w:t>
      </w:r>
      <w:r w:rsidRPr="000C0C11">
        <w:rPr>
          <w:rFonts w:cs="Tahoma"/>
        </w:rPr>
        <w:t xml:space="preserve"> di servizi inerenti alle vendite di </w:t>
      </w:r>
      <w:r w:rsidRPr="00A8351F">
        <w:rPr>
          <w:rFonts w:cs="Tahoma"/>
        </w:rPr>
        <w:t>RUKO, PL7</w:t>
      </w:r>
      <w:r>
        <w:rPr>
          <w:rFonts w:cs="Tahoma"/>
        </w:rPr>
        <w:t xml:space="preserve">, </w:t>
      </w:r>
      <w:r w:rsidRPr="00A8351F">
        <w:rPr>
          <w:rFonts w:cs="Tahoma"/>
        </w:rPr>
        <w:t>HKL</w:t>
      </w:r>
      <w:r>
        <w:rPr>
          <w:rFonts w:cs="Tahoma"/>
        </w:rPr>
        <w:t>, DLS, SHZ, BEL 35up e SZF</w:t>
      </w:r>
      <w:r w:rsidRPr="000C0C11">
        <w:rPr>
          <w:rFonts w:cs="Tahoma"/>
        </w:rPr>
        <w:t xml:space="preserve"> direttamente al cliente finale, ossia della copertura forfetaria di quei costi di struttura sostenuti da Vimercati per la gestione della commessa e del cliente. Per tali servizi è stato stipulato un apposito contratto. Le ragioni economico-giuridiche di tale addebito da parte di Vimercati stanno proprio nel consentire a quest'ultima di ricatturare gran parte del margine complessivo che si genera con le vendite al cliente finale da parte della controllata romena.</w:t>
      </w:r>
    </w:p>
    <w:p w14:paraId="32A4CB76" w14:textId="77777777" w:rsidR="00683F51" w:rsidRPr="000C0C11" w:rsidRDefault="00683F51" w:rsidP="00683F51">
      <w:pPr>
        <w:keepNext/>
        <w:autoSpaceDE w:val="0"/>
        <w:autoSpaceDN w:val="0"/>
        <w:adjustRightInd w:val="0"/>
        <w:rPr>
          <w:rFonts w:cs="Tahoma"/>
        </w:rPr>
      </w:pPr>
      <w:r>
        <w:rPr>
          <w:rFonts w:cs="Tahoma"/>
        </w:rPr>
        <w:t>Con riferimento alla locazione di macchinari e stampi, s</w:t>
      </w:r>
      <w:r w:rsidRPr="000C0C11">
        <w:rPr>
          <w:rFonts w:cs="Tahoma"/>
        </w:rPr>
        <w:t xml:space="preserve">i tratta della locazione di alcuni macchinari relativi alla produzione di </w:t>
      </w:r>
      <w:r w:rsidRPr="00A8351F">
        <w:rPr>
          <w:rFonts w:cs="Tahoma"/>
        </w:rPr>
        <w:t>RUKO, PL7</w:t>
      </w:r>
      <w:r>
        <w:rPr>
          <w:rFonts w:cs="Tahoma"/>
        </w:rPr>
        <w:t xml:space="preserve">, </w:t>
      </w:r>
      <w:r w:rsidRPr="00A8351F">
        <w:rPr>
          <w:rFonts w:cs="Tahoma"/>
        </w:rPr>
        <w:t>HKL</w:t>
      </w:r>
      <w:r>
        <w:rPr>
          <w:rFonts w:cs="Tahoma"/>
        </w:rPr>
        <w:t>, DLS, SHZ, BEL 35up e SZF</w:t>
      </w:r>
      <w:r w:rsidRPr="000C0C11">
        <w:rPr>
          <w:rFonts w:cs="Tahoma"/>
        </w:rPr>
        <w:t xml:space="preserve">. Per la locazione di tali </w:t>
      </w:r>
      <w:r w:rsidRPr="000C0C11">
        <w:rPr>
          <w:rFonts w:cs="Tahoma"/>
        </w:rPr>
        <w:lastRenderedPageBreak/>
        <w:t>macchinari è stato stipulato apposito contratto. L'importo è definito sulla base dei costi sostenuti per l’acquisto dei macchinari locati a VEE. Il totale di tali costi è stato poi suddiviso sul ciclo di vita atteso dei prodotti e sui volumi di produzione stimati ottenendo dei congrui canoni di locazione.</w:t>
      </w:r>
    </w:p>
    <w:p w14:paraId="1F3ECD26" w14:textId="771E301A" w:rsidR="000C0C11" w:rsidRPr="000C0C11" w:rsidRDefault="00683F51" w:rsidP="00683F51">
      <w:pPr>
        <w:keepNext/>
        <w:autoSpaceDE w:val="0"/>
        <w:autoSpaceDN w:val="0"/>
        <w:adjustRightInd w:val="0"/>
        <w:rPr>
          <w:rFonts w:cs="Tahoma"/>
        </w:rPr>
      </w:pPr>
      <w:r>
        <w:rPr>
          <w:rFonts w:cs="Tahoma"/>
        </w:rPr>
        <w:t>Inoltre, relativamente ai prodotti destinati al cliente tedesco, Vimercati concede</w:t>
      </w:r>
      <w:r w:rsidRPr="000C0C11">
        <w:rPr>
          <w:rFonts w:cs="Tahoma"/>
        </w:rPr>
        <w:t xml:space="preserve"> </w:t>
      </w:r>
      <w:r>
        <w:rPr>
          <w:rFonts w:cs="Tahoma"/>
        </w:rPr>
        <w:t xml:space="preserve">a VEE </w:t>
      </w:r>
      <w:r w:rsidRPr="000C0C11">
        <w:rPr>
          <w:rFonts w:cs="Tahoma"/>
        </w:rPr>
        <w:t xml:space="preserve">la licenza per la produzione di </w:t>
      </w:r>
      <w:r w:rsidRPr="00A8351F">
        <w:rPr>
          <w:rFonts w:cs="Tahoma"/>
        </w:rPr>
        <w:t>RUKO, PL7</w:t>
      </w:r>
      <w:r>
        <w:rPr>
          <w:rFonts w:cs="Tahoma"/>
        </w:rPr>
        <w:t xml:space="preserve">, </w:t>
      </w:r>
      <w:r w:rsidRPr="00A8351F">
        <w:rPr>
          <w:rFonts w:cs="Tahoma"/>
        </w:rPr>
        <w:t>HKL</w:t>
      </w:r>
      <w:r>
        <w:rPr>
          <w:rFonts w:cs="Tahoma"/>
        </w:rPr>
        <w:t>, DLS, SHZ, BEL 35up e SZF</w:t>
      </w:r>
      <w:r w:rsidRPr="000C0C11">
        <w:rPr>
          <w:rFonts w:cs="Tahoma"/>
        </w:rPr>
        <w:t xml:space="preserve">, nonché </w:t>
      </w:r>
      <w:r>
        <w:rPr>
          <w:rFonts w:cs="Tahoma"/>
        </w:rPr>
        <w:t>i</w:t>
      </w:r>
      <w:r w:rsidRPr="000C0C11">
        <w:rPr>
          <w:rFonts w:cs="Tahoma"/>
        </w:rPr>
        <w:t>l trasferimento di specifico know-how relativo alla produzione dei citati prodotti.</w:t>
      </w:r>
      <w:r>
        <w:rPr>
          <w:rFonts w:cs="Tahoma"/>
        </w:rPr>
        <w:t xml:space="preserve"> </w:t>
      </w:r>
      <w:r w:rsidRPr="000C0C11">
        <w:rPr>
          <w:rFonts w:cs="Tahoma"/>
        </w:rPr>
        <w:t>L’importo definito quale corrispettivo nel contratto stipulato tra le due parti è stato calcolato sulla base dei costi sostenuti per l’ingegnerizzazione dei due prodotti. Il totale di tali costi è stato poi suddiviso sul ciclo di vita atteso dei prodotti e sui volumi di produzione stimati, ottenendo dei congrui canoni relati</w:t>
      </w:r>
      <w:r>
        <w:rPr>
          <w:rFonts w:cs="Tahoma"/>
        </w:rPr>
        <w:t xml:space="preserve">vi al trasferimento di </w:t>
      </w:r>
      <w:r w:rsidRPr="00683F51">
        <w:rPr>
          <w:rFonts w:cs="Tahoma"/>
          <w:i/>
        </w:rPr>
        <w:t>know-how</w:t>
      </w:r>
      <w:r w:rsidR="000C0C11" w:rsidRPr="000C0C11">
        <w:rPr>
          <w:rFonts w:cs="Tahoma"/>
        </w:rPr>
        <w:t>.</w:t>
      </w:r>
    </w:p>
    <w:p w14:paraId="6F632753" w14:textId="77777777" w:rsidR="00F16613" w:rsidRDefault="00F16613">
      <w:pPr>
        <w:spacing w:before="0" w:after="160" w:line="259" w:lineRule="auto"/>
        <w:jc w:val="left"/>
        <w:rPr>
          <w:rFonts w:eastAsiaTheme="majorEastAsia" w:cstheme="majorBidi"/>
          <w:b/>
          <w:sz w:val="28"/>
          <w:szCs w:val="26"/>
          <w:lang w:eastAsia="ja-JP"/>
        </w:rPr>
      </w:pPr>
      <w:r>
        <w:rPr>
          <w:lang w:eastAsia="ja-JP"/>
        </w:rPr>
        <w:br w:type="page"/>
      </w:r>
    </w:p>
    <w:p w14:paraId="4D418149" w14:textId="2BE0C635" w:rsidR="009241EE" w:rsidRDefault="00F16613" w:rsidP="009241EE">
      <w:pPr>
        <w:pStyle w:val="Titolo2"/>
        <w:numPr>
          <w:ilvl w:val="1"/>
          <w:numId w:val="5"/>
        </w:numPr>
        <w:rPr>
          <w:lang w:eastAsia="ja-JP"/>
        </w:rPr>
      </w:pPr>
      <w:bookmarkStart w:id="28" w:name="_Toc25674089"/>
      <w:r>
        <w:rPr>
          <w:lang w:eastAsia="ja-JP"/>
        </w:rPr>
        <w:lastRenderedPageBreak/>
        <w:t>T</w:t>
      </w:r>
      <w:r w:rsidR="009241EE">
        <w:rPr>
          <w:lang w:eastAsia="ja-JP"/>
        </w:rPr>
        <w:t>ransazione T</w:t>
      </w:r>
      <w:r w:rsidR="00875176">
        <w:rPr>
          <w:lang w:eastAsia="ja-JP"/>
        </w:rPr>
        <w:t>3</w:t>
      </w:r>
      <w:r w:rsidR="009241EE">
        <w:rPr>
          <w:lang w:eastAsia="ja-JP"/>
        </w:rPr>
        <w:t xml:space="preserve"> – Acquisto di componenti</w:t>
      </w:r>
      <w:bookmarkEnd w:id="28"/>
    </w:p>
    <w:p w14:paraId="30E6F855" w14:textId="723033E8" w:rsidR="009241EE" w:rsidRDefault="009241EE" w:rsidP="009241EE">
      <w:r>
        <w:t xml:space="preserve">All’interno del Gruppo </w:t>
      </w:r>
      <w:proofErr w:type="spellStart"/>
      <w:r>
        <w:t>Viney</w:t>
      </w:r>
      <w:proofErr w:type="spellEnd"/>
      <w:r>
        <w:t xml:space="preserve">, Vimercati si qualifica come </w:t>
      </w:r>
      <w:r>
        <w:rPr>
          <w:i/>
        </w:rPr>
        <w:t>production company</w:t>
      </w:r>
      <w:r>
        <w:t>, ossia come soggetto la cui attività consiste nella realizzazione e nella vendita di prodotti finiti.</w:t>
      </w:r>
    </w:p>
    <w:p w14:paraId="27D1B16B" w14:textId="2A353934" w:rsidR="009241EE" w:rsidRDefault="009241EE" w:rsidP="009241EE">
      <w:r>
        <w:t xml:space="preserve">Nell’ambito dell’approvvigionamento delle componenti necessarie alla produzione, la Società si avvale della fornitura di alcune componenti dalla controllante indiana </w:t>
      </w:r>
      <w:proofErr w:type="spellStart"/>
      <w:r>
        <w:t>Viney</w:t>
      </w:r>
      <w:proofErr w:type="spellEnd"/>
      <w:r>
        <w:t xml:space="preserve">. </w:t>
      </w:r>
    </w:p>
    <w:p w14:paraId="329015DC" w14:textId="59D0EC34" w:rsidR="009241EE" w:rsidRDefault="009241EE" w:rsidP="009241EE">
      <w:r>
        <w:t>Nella figura seguente viene rappresentato il flusso della transazione in esame.</w:t>
      </w:r>
    </w:p>
    <w:p w14:paraId="5CA37768" w14:textId="2D6A233F" w:rsidR="009241EE" w:rsidRDefault="009241EE" w:rsidP="009241EE">
      <w:pPr>
        <w:rPr>
          <w:b/>
          <w:sz w:val="18"/>
          <w:lang w:eastAsia="ja-JP"/>
        </w:rPr>
      </w:pPr>
      <w:r>
        <w:rPr>
          <w:b/>
          <w:sz w:val="18"/>
          <w:lang w:eastAsia="ja-JP"/>
        </w:rPr>
        <w:t>Figura: Ammontare dei flu</w:t>
      </w:r>
      <w:r w:rsidR="007D187C">
        <w:rPr>
          <w:b/>
          <w:sz w:val="18"/>
          <w:lang w:eastAsia="ja-JP"/>
        </w:rPr>
        <w:t>ssi riferiti alla transazione T</w:t>
      </w:r>
      <w:r w:rsidR="00875176">
        <w:rPr>
          <w:b/>
          <w:sz w:val="18"/>
          <w:lang w:eastAsia="ja-JP"/>
        </w:rPr>
        <w:t>3</w:t>
      </w:r>
    </w:p>
    <w:p w14:paraId="15A6D7FD" w14:textId="6DFC3F5C" w:rsidR="009241EE" w:rsidRDefault="001E0F01" w:rsidP="00F16613">
      <w:r w:rsidRPr="001E0F01">
        <w:rPr>
          <w:b/>
          <w:noProof/>
          <w:sz w:val="18"/>
          <w:lang w:eastAsia="it-IT"/>
        </w:rPr>
        <mc:AlternateContent>
          <mc:Choice Requires="wps">
            <w:drawing>
              <wp:anchor distT="0" distB="0" distL="114300" distR="114300" simplePos="0" relativeHeight="251687936" behindDoc="0" locked="0" layoutInCell="1" allowOverlap="1" wp14:anchorId="2B467230" wp14:editId="4A434419">
                <wp:simplePos x="0" y="0"/>
                <wp:positionH relativeFrom="column">
                  <wp:posOffset>1699450</wp:posOffset>
                </wp:positionH>
                <wp:positionV relativeFrom="paragraph">
                  <wp:posOffset>1667510</wp:posOffset>
                </wp:positionV>
                <wp:extent cx="1779270" cy="575310"/>
                <wp:effectExtent l="0" t="0" r="0" b="0"/>
                <wp:wrapNone/>
                <wp:docPr id="29" name="Rettangolo 28"/>
                <wp:cNvGraphicFramePr/>
                <a:graphic xmlns:a="http://schemas.openxmlformats.org/drawingml/2006/main">
                  <a:graphicData uri="http://schemas.microsoft.com/office/word/2010/wordprocessingShape">
                    <wps:wsp>
                      <wps:cNvSpPr/>
                      <wps:spPr>
                        <a:xfrm>
                          <a:off x="0" y="0"/>
                          <a:ext cx="1779270" cy="575310"/>
                        </a:xfrm>
                        <a:prstGeom prst="rect">
                          <a:avLst/>
                        </a:prstGeom>
                        <a:noFill/>
                        <a:ln w="9525">
                          <a:no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52D3D04" w14:textId="77777777" w:rsidR="00A56D1A" w:rsidRPr="001E0F01" w:rsidRDefault="00A56D1A" w:rsidP="001E0F01">
                            <w:pPr>
                              <w:pStyle w:val="paragraphstyle2"/>
                              <w:jc w:val="center"/>
                              <w:rPr>
                                <w:rFonts w:ascii="Times New Roman" w:hAnsi="Times New Roman"/>
                                <w:sz w:val="20"/>
                                <w:szCs w:val="20"/>
                              </w:rPr>
                            </w:pPr>
                            <w:r w:rsidRPr="001E0F01">
                              <w:rPr>
                                <w:rFonts w:ascii="Times New Roman" w:hAnsi="Times New Roman"/>
                                <w:color w:val="000000" w:themeColor="text1"/>
                                <w:kern w:val="24"/>
                                <w:sz w:val="20"/>
                                <w:szCs w:val="20"/>
                              </w:rPr>
                              <w:t>Prezzo di trasferimento</w:t>
                            </w:r>
                          </w:p>
                        </w:txbxContent>
                      </wps:txbx>
                      <wps:bodyPr wrap="square" rtlCol="0" anchor="ctr"/>
                    </wps:wsp>
                  </a:graphicData>
                </a:graphic>
                <wp14:sizeRelH relativeFrom="margin">
                  <wp14:pctWidth>0</wp14:pctWidth>
                </wp14:sizeRelH>
              </wp:anchor>
            </w:drawing>
          </mc:Choice>
          <mc:Fallback>
            <w:pict>
              <v:rect w14:anchorId="2B467230" id="Rettangolo 28" o:spid="_x0000_s1053" style="position:absolute;left:0;text-align:left;margin-left:133.8pt;margin-top:131.3pt;width:140.1pt;height:45.3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" filled="f" stroked="f">
                <v:textbox>
                  <w:txbxContent>
                    <w:p w14:paraId="152D3D04" w14:textId="77777777" w:rsidR="00A56D1A" w:rsidRPr="001E0F01" w:rsidRDefault="00A56D1A" w:rsidP="001E0F01">
                      <w:pPr>
                        <w:pStyle w:val="paragraphstyle2"/>
                        <w:jc w:val="center"/>
                        <w:rPr>
                          <w:rFonts w:ascii="Times New Roman" w:hAnsi="Times New Roman"/>
                          <w:sz w:val="20"/>
                          <w:szCs w:val="20"/>
                        </w:rPr>
                      </w:pPr>
                      <w:r w:rsidRPr="001E0F01">
                        <w:rPr>
                          <w:rFonts w:ascii="Times New Roman" w:hAnsi="Times New Roman"/>
                          <w:color w:val="000000" w:themeColor="text1"/>
                          <w:kern w:val="24"/>
                          <w:sz w:val="20"/>
                          <w:szCs w:val="20"/>
                        </w:rPr>
                        <w:t>Prezzo di trasferimento</w:t>
                      </w:r>
                    </w:p>
                  </w:txbxContent>
                </v:textbox>
              </v:rect>
            </w:pict>
          </mc:Fallback>
        </mc:AlternateContent>
      </w:r>
      <w:r w:rsidRPr="001E0F01">
        <w:rPr>
          <w:b/>
          <w:noProof/>
          <w:sz w:val="18"/>
          <w:lang w:eastAsia="it-IT"/>
        </w:rPr>
        <mc:AlternateContent>
          <mc:Choice Requires="wps">
            <w:drawing>
              <wp:anchor distT="0" distB="0" distL="114300" distR="114300" simplePos="0" relativeHeight="251686912" behindDoc="0" locked="0" layoutInCell="1" allowOverlap="1" wp14:anchorId="454C6AF1" wp14:editId="6E8C789D">
                <wp:simplePos x="0" y="0"/>
                <wp:positionH relativeFrom="column">
                  <wp:posOffset>1928495</wp:posOffset>
                </wp:positionH>
                <wp:positionV relativeFrom="paragraph">
                  <wp:posOffset>1271460</wp:posOffset>
                </wp:positionV>
                <wp:extent cx="1226820" cy="535305"/>
                <wp:effectExtent l="0" t="0" r="0" b="0"/>
                <wp:wrapNone/>
                <wp:docPr id="28" name="Rettangolo 27"/>
                <wp:cNvGraphicFramePr/>
                <a:graphic xmlns:a="http://schemas.openxmlformats.org/drawingml/2006/main">
                  <a:graphicData uri="http://schemas.microsoft.com/office/word/2010/wordprocessingShape">
                    <wps:wsp>
                      <wps:cNvSpPr/>
                      <wps:spPr>
                        <a:xfrm>
                          <a:off x="0" y="0"/>
                          <a:ext cx="1226820" cy="535305"/>
                        </a:xfrm>
                        <a:prstGeom prst="rect">
                          <a:avLst/>
                        </a:prstGeom>
                        <a:noFill/>
                        <a:ln w="9525">
                          <a:no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DAD4F40" w14:textId="77777777" w:rsidR="00A56D1A" w:rsidRPr="001E0F01" w:rsidRDefault="00A56D1A" w:rsidP="001E0F01">
                            <w:pPr>
                              <w:pStyle w:val="paragraphstyle2"/>
                              <w:jc w:val="center"/>
                              <w:rPr>
                                <w:rFonts w:ascii="Times New Roman" w:hAnsi="Times New Roman"/>
                              </w:rPr>
                            </w:pPr>
                            <w:r w:rsidRPr="001E0F01">
                              <w:rPr>
                                <w:rFonts w:ascii="Times New Roman" w:hAnsi="Times New Roman"/>
                                <w:color w:val="000000" w:themeColor="text1"/>
                                <w:kern w:val="24"/>
                                <w:sz w:val="20"/>
                                <w:szCs w:val="20"/>
                              </w:rPr>
                              <w:t>Componenti</w:t>
                            </w:r>
                          </w:p>
                        </w:txbxContent>
                      </wps:txbx>
                      <wps:bodyPr rtlCol="0" anchor="ctr"/>
                    </wps:wsp>
                  </a:graphicData>
                </a:graphic>
              </wp:anchor>
            </w:drawing>
          </mc:Choice>
          <mc:Fallback>
            <w:pict>
              <v:rect w14:anchorId="454C6AF1" id="Rettangolo 27" o:spid="_x0000_s1054" style="position:absolute;left:0;text-align:left;margin-left:151.85pt;margin-top:100.1pt;width:96.6pt;height:42.1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" filled="f" stroked="f">
                <v:textbox>
                  <w:txbxContent>
                    <w:p w14:paraId="3DAD4F40" w14:textId="77777777" w:rsidR="00A56D1A" w:rsidRPr="001E0F01" w:rsidRDefault="00A56D1A" w:rsidP="001E0F01">
                      <w:pPr>
                        <w:pStyle w:val="paragraphstyle2"/>
                        <w:jc w:val="center"/>
                        <w:rPr>
                          <w:rFonts w:ascii="Times New Roman" w:hAnsi="Times New Roman"/>
                        </w:rPr>
                      </w:pPr>
                      <w:r w:rsidRPr="001E0F01">
                        <w:rPr>
                          <w:rFonts w:ascii="Times New Roman" w:hAnsi="Times New Roman"/>
                          <w:color w:val="000000" w:themeColor="text1"/>
                          <w:kern w:val="24"/>
                          <w:sz w:val="20"/>
                          <w:szCs w:val="20"/>
                        </w:rPr>
                        <w:t>Componenti</w:t>
                      </w:r>
                    </w:p>
                  </w:txbxContent>
                </v:textbox>
              </v:rect>
            </w:pict>
          </mc:Fallback>
        </mc:AlternateContent>
      </w:r>
      <w:r w:rsidRPr="003309D6">
        <w:rPr>
          <w:b/>
          <w:noProof/>
          <w:sz w:val="18"/>
          <w:lang w:eastAsia="it-IT"/>
        </w:rPr>
        <mc:AlternateContent>
          <mc:Choice Requires="wps">
            <w:drawing>
              <wp:anchor distT="0" distB="0" distL="114300" distR="114300" simplePos="0" relativeHeight="251684864" behindDoc="0" locked="0" layoutInCell="1" allowOverlap="1" wp14:anchorId="34B212C0" wp14:editId="6B5CCEBC">
                <wp:simplePos x="0" y="0"/>
                <wp:positionH relativeFrom="column">
                  <wp:posOffset>1258296</wp:posOffset>
                </wp:positionH>
                <wp:positionV relativeFrom="paragraph">
                  <wp:posOffset>908875</wp:posOffset>
                </wp:positionV>
                <wp:extent cx="3000375" cy="506730"/>
                <wp:effectExtent l="0" t="0" r="66675" b="64770"/>
                <wp:wrapNone/>
                <wp:docPr id="27" name="Connettore 4 26"/>
                <wp:cNvGraphicFramePr/>
                <a:graphic xmlns:a="http://schemas.openxmlformats.org/drawingml/2006/main">
                  <a:graphicData uri="http://schemas.microsoft.com/office/word/2010/wordprocessingShape">
                    <wps:wsp>
                      <wps:cNvCnPr/>
                      <wps:spPr>
                        <a:xfrm>
                          <a:off x="0" y="0"/>
                          <a:ext cx="3000375" cy="506730"/>
                        </a:xfrm>
                        <a:prstGeom prst="bentConnector2">
                          <a:avLst/>
                        </a:prstGeom>
                        <a:ln>
                          <a:solidFill>
                            <a:schemeClr val="bg1">
                              <a:lumMod val="6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831FCEB" id="_x0000_t33" coordsize="21600,21600" o:spt="33" o:oned="t" path="m,l21600,r,21600e" filled="f">
                <v:stroke joinstyle="miter"/>
                <v:path arrowok="t" fillok="f" o:connecttype="none"/>
                <o:lock v:ext="edit" shapetype="t"/>
              </v:shapetype>
              <v:shape id="Connettore 4 26" o:spid="_x0000_s1026" type="#_x0000_t33" style="position:absolute;margin-left:99.1pt;margin-top:71.55pt;width:236.25pt;height:39.9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" strokecolor="#a5a5a5 [2092]" strokeweight=".5pt">
                <v:stroke endarrow="block"/>
              </v:shape>
            </w:pict>
          </mc:Fallback>
        </mc:AlternateContent>
      </w:r>
      <w:r w:rsidRPr="003309D6">
        <w:rPr>
          <w:b/>
          <w:noProof/>
          <w:sz w:val="18"/>
          <w:lang w:eastAsia="it-IT"/>
        </w:rPr>
        <mc:AlternateContent>
          <mc:Choice Requires="wpg">
            <w:drawing>
              <wp:anchor distT="0" distB="0" distL="114300" distR="114300" simplePos="0" relativeHeight="251682816" behindDoc="0" locked="0" layoutInCell="1" allowOverlap="1" wp14:anchorId="3054C734" wp14:editId="3F6AD3B5">
                <wp:simplePos x="0" y="0"/>
                <wp:positionH relativeFrom="column">
                  <wp:posOffset>0</wp:posOffset>
                </wp:positionH>
                <wp:positionV relativeFrom="paragraph">
                  <wp:posOffset>248920</wp:posOffset>
                </wp:positionV>
                <wp:extent cx="5039360" cy="2239645"/>
                <wp:effectExtent l="0" t="0" r="27940" b="27305"/>
                <wp:wrapTopAndBottom/>
                <wp:docPr id="82" name="Gruppo 12"/>
                <wp:cNvGraphicFramePr/>
                <a:graphic xmlns:a="http://schemas.openxmlformats.org/drawingml/2006/main">
                  <a:graphicData uri="http://schemas.microsoft.com/office/word/2010/wordprocessingGroup">
                    <wpg:wgp>
                      <wpg:cNvGrpSpPr/>
                      <wpg:grpSpPr>
                        <a:xfrm>
                          <a:off x="0" y="0"/>
                          <a:ext cx="5039360" cy="2239645"/>
                          <a:chOff x="0" y="0"/>
                          <a:chExt cx="5039497" cy="2239861"/>
                        </a:xfrm>
                      </wpg:grpSpPr>
                      <wps:wsp>
                        <wps:cNvPr id="83" name="Rettangolo 83"/>
                        <wps:cNvSpPr/>
                        <wps:spPr>
                          <a:xfrm>
                            <a:off x="156519" y="1220697"/>
                            <a:ext cx="1227438" cy="535461"/>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5DB2839" w14:textId="7D861697" w:rsidR="00A56D1A" w:rsidRDefault="00A56D1A" w:rsidP="001E0F01">
                              <w:pPr>
                                <w:pStyle w:val="NormaleWeb"/>
                                <w:spacing w:before="0" w:beforeAutospacing="0" w:after="0" w:afterAutospacing="0"/>
                                <w:jc w:val="center"/>
                              </w:pPr>
                              <w:proofErr w:type="spellStart"/>
                              <w:r>
                                <w:rPr>
                                  <w:color w:val="000000" w:themeColor="text1"/>
                                  <w:kern w:val="24"/>
                                  <w:sz w:val="20"/>
                                  <w:szCs w:val="20"/>
                                </w:rPr>
                                <w:t>Viney</w:t>
                              </w:r>
                              <w:proofErr w:type="spellEnd"/>
                              <w:r>
                                <w:rPr>
                                  <w:color w:val="000000" w:themeColor="text1"/>
                                  <w:kern w:val="24"/>
                                  <w:sz w:val="20"/>
                                  <w:szCs w:val="20"/>
                                </w:rPr>
                                <w:t xml:space="preserve"> Corporation Ltd</w:t>
                              </w:r>
                            </w:p>
                          </w:txbxContent>
                        </wps:txbx>
                        <wps:bodyPr rtlCol="0" anchor="ctr"/>
                      </wps:wsp>
                      <wps:wsp>
                        <wps:cNvPr id="84" name="Rettangolo 84"/>
                        <wps:cNvSpPr/>
                        <wps:spPr>
                          <a:xfrm>
                            <a:off x="3645245" y="1208341"/>
                            <a:ext cx="1227438" cy="535461"/>
                          </a:xfrm>
                          <a:prstGeom prst="rect">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3A2CDD3" w14:textId="77777777" w:rsidR="00A56D1A" w:rsidRDefault="00A56D1A" w:rsidP="001E0F01">
                              <w:pPr>
                                <w:pStyle w:val="NormaleWeb"/>
                                <w:spacing w:before="0" w:beforeAutospacing="0" w:after="0" w:afterAutospacing="0"/>
                                <w:jc w:val="center"/>
                              </w:pPr>
                              <w:r>
                                <w:rPr>
                                  <w:color w:val="000000" w:themeColor="text1"/>
                                  <w:kern w:val="24"/>
                                  <w:sz w:val="20"/>
                                  <w:szCs w:val="20"/>
                                </w:rPr>
                                <w:t>Vimercati S.p.A.</w:t>
                              </w:r>
                            </w:p>
                          </w:txbxContent>
                        </wps:txbx>
                        <wps:bodyPr rtlCol="0" anchor="ctr"/>
                      </wps:wsp>
                      <wps:wsp>
                        <wps:cNvPr id="85" name="Rettangolo 85"/>
                        <wps:cNvSpPr/>
                        <wps:spPr>
                          <a:xfrm>
                            <a:off x="0" y="0"/>
                            <a:ext cx="5039497" cy="223986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Ovale 86"/>
                        <wps:cNvSpPr/>
                        <wps:spPr>
                          <a:xfrm>
                            <a:off x="278028" y="264453"/>
                            <a:ext cx="980303" cy="873212"/>
                          </a:xfrm>
                          <a:prstGeom prst="ellipse">
                            <a:avLst/>
                          </a:prstGeom>
                          <a:noFill/>
                          <a:ln>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7BEFD8E" w14:textId="77777777" w:rsidR="00A56D1A" w:rsidRDefault="00A56D1A" w:rsidP="001E0F01">
                              <w:pPr>
                                <w:pStyle w:val="NormaleWeb"/>
                                <w:spacing w:before="0" w:beforeAutospacing="0" w:after="0" w:afterAutospacing="0"/>
                                <w:jc w:val="center"/>
                              </w:pPr>
                              <w:proofErr w:type="gramStart"/>
                              <w:r>
                                <w:rPr>
                                  <w:color w:val="808080" w:themeColor="background1" w:themeShade="80"/>
                                  <w:kern w:val="24"/>
                                  <w:sz w:val="16"/>
                                  <w:szCs w:val="16"/>
                                </w:rPr>
                                <w:t>Fornitori  componenti</w:t>
                              </w:r>
                              <w:proofErr w:type="gramEnd"/>
                            </w:p>
                          </w:txbxContent>
                        </wps:txbx>
                        <wps:bodyPr rtlCol="0" anchor="ctr"/>
                      </wps:wsp>
                      <wps:wsp>
                        <wps:cNvPr id="87" name="Connettore 2 87"/>
                        <wps:cNvCnPr/>
                        <wps:spPr>
                          <a:xfrm flipV="1">
                            <a:off x="1383957" y="1408906"/>
                            <a:ext cx="2261288" cy="12356"/>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88" name="Connettore 2 88"/>
                        <wps:cNvCnPr/>
                        <wps:spPr>
                          <a:xfrm flipH="1">
                            <a:off x="1383957" y="1570176"/>
                            <a:ext cx="2261288" cy="12356"/>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054C734" id="Gruppo 12" o:spid="_x0000_s1055" style="position:absolute;left:0;text-align:left;margin-left:0;margin-top:19.6pt;width:396.8pt;height:176.35pt;z-index:251682816" coordsize="50394,22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">
                <v:rect id="Rettangolo 83" o:spid="_x0000_s1056" style="position:absolute;left:1565;top:12206;width:12274;height:5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98b8EA&#10;AADbAAAADwAAAGRycy9kb3ducmV2LnhtbESP0YrCMBRE3xf8h3AFXxZNVVhKNYoIgi8V1vUDLs21&#10;KTY3sUm1/r1ZWNjHYWbOMOvtYFvxoC40jhXMZxkI4srphmsFl5/DNAcRIrLG1jEpeFGA7Wb0scZC&#10;uyd/0+Mca5EgHApUYGL0hZShMmQxzJwnTt7VdRZjkl0tdYfPBLetXGTZl7TYcFow6GlvqLqde6tg&#10;6PP7vexv1tCybD8X0Z9K75WajIfdCkSkIf6H/9pHrSBfwu+X9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vfG/BAAAA2wAAAA8AAAAAAAAAAAAAAAAAmAIAAGRycy9kb3du&#10;cmV2LnhtbFBLBQYAAAAABAAEAPUAAACGAwAAAAA=&#10;" filled="f" strokecolor="black [3213]">
                  <v:textbox>
                    <w:txbxContent>
                      <w:p w14:paraId="05DB2839" w14:textId="7D861697" w:rsidR="00A56D1A" w:rsidRDefault="00A56D1A" w:rsidP="001E0F01">
                        <w:pPr>
                          <w:pStyle w:val="NormaleWeb"/>
                          <w:spacing w:before="0" w:beforeAutospacing="0" w:after="0" w:afterAutospacing="0"/>
                          <w:jc w:val="center"/>
                        </w:pPr>
                        <w:proofErr w:type="spellStart"/>
                        <w:r>
                          <w:rPr>
                            <w:color w:val="000000" w:themeColor="text1"/>
                            <w:kern w:val="24"/>
                            <w:sz w:val="20"/>
                            <w:szCs w:val="20"/>
                          </w:rPr>
                          <w:t>Viney</w:t>
                        </w:r>
                        <w:proofErr w:type="spellEnd"/>
                        <w:r>
                          <w:rPr>
                            <w:color w:val="000000" w:themeColor="text1"/>
                            <w:kern w:val="24"/>
                            <w:sz w:val="20"/>
                            <w:szCs w:val="20"/>
                          </w:rPr>
                          <w:t xml:space="preserve"> Corporation Ltd</w:t>
                        </w:r>
                      </w:p>
                    </w:txbxContent>
                  </v:textbox>
                </v:rect>
                <v:rect id="Rettangolo 84" o:spid="_x0000_s1057" style="position:absolute;left:36452;top:12083;width:12274;height:5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bkG8IA&#10;AADbAAAADwAAAGRycy9kb3ducmV2LnhtbESP0YrCMBRE3xf8h3AFXxZN112kVKPIguBLF1b9gEtz&#10;bYrNTWxSrX9vhIV9HGbmDLPaDLYVN+pC41jBxywDQVw53XCt4HTcTXMQISJrbB2TggcF2KxHbyss&#10;tLvzL90OsRYJwqFABSZGX0gZKkMWw8x54uSdXWcxJtnVUnd4T3DbynmWLaTFhtOCQU/fhqrLobcK&#10;hj6/Xsv+Yg19lu37PPqf0nulJuNhuwQRaYj/4b/2XivIv+D1Jf0A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uQbwgAAANsAAAAPAAAAAAAAAAAAAAAAAJgCAABkcnMvZG93&#10;bnJldi54bWxQSwUGAAAAAAQABAD1AAAAhwMAAAAA&#10;" filled="f" strokecolor="black [3213]">
                  <v:textbox>
                    <w:txbxContent>
                      <w:p w14:paraId="43A2CDD3" w14:textId="77777777" w:rsidR="00A56D1A" w:rsidRDefault="00A56D1A" w:rsidP="001E0F01">
                        <w:pPr>
                          <w:pStyle w:val="NormaleWeb"/>
                          <w:spacing w:before="0" w:beforeAutospacing="0" w:after="0" w:afterAutospacing="0"/>
                          <w:jc w:val="center"/>
                        </w:pPr>
                        <w:r>
                          <w:rPr>
                            <w:color w:val="000000" w:themeColor="text1"/>
                            <w:kern w:val="24"/>
                            <w:sz w:val="20"/>
                            <w:szCs w:val="20"/>
                          </w:rPr>
                          <w:t>Vimercati S.p.A.</w:t>
                        </w:r>
                      </w:p>
                    </w:txbxContent>
                  </v:textbox>
                </v:rect>
                <v:rect id="Rettangolo 85" o:spid="_x0000_s1058" style="position:absolute;width:50394;height:22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gisYA&#10;AADbAAAADwAAAGRycy9kb3ducmV2LnhtbESPQUvDQBSE7wX/w/IEL8VuKlhC2m0RSyUHKVj10Ntr&#10;9pmNzb4N2Wcb/71bEHocZuYbZrEafKtO1McmsIHpJANFXAXbcG3g431zn4OKgmyxDUwGfinCankz&#10;WmBhw5nf6LSTWiUIxwINOJGu0DpWjjzGSeiIk/cVeo+SZF9r2+M5wX2rH7Jspj02nBYcdvTsqDru&#10;fryBfTlI/T19kdcjjj/HpTtU2/XBmLvb4WkOSmiQa/i/XVoD+SNcvqQf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IgisYAAADbAAAADwAAAAAAAAAAAAAAAACYAgAAZHJz&#10;L2Rvd25yZXYueG1sUEsFBgAAAAAEAAQA9QAAAIsDAAAAAA==&#10;" filled="f" strokecolor="black [3213]" strokeweight="1pt"/>
                <v:oval id="Ovale 86" o:spid="_x0000_s1059" style="position:absolute;left:2780;top:2644;width:9803;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3yGsYA&#10;AADbAAAADwAAAGRycy9kb3ducmV2LnhtbESPQWsCMRSE74X+h/CEXopmVVxlNUoRbAsiturB42Pz&#10;3F3cvCxJqmt/fVMQPA4z8w0zW7SmFhdyvrKsoN9LQBDnVldcKDjsV90JCB+QNdaWScGNPCzmz08z&#10;zLS98jdddqEQEcI+QwVlCE0mpc9LMuh7tiGO3sk6gyFKV0jt8BrhppaDJEmlwYrjQokNLUvKz7sf&#10;o2CT/n6tD67aD93ouPpYbtfn99exUi+d9m0KIlAbHuF7+1MrmKTw/yX+AD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33yGsYAAADbAAAADwAAAAAAAAAAAAAAAACYAgAAZHJz&#10;L2Rvd25yZXYueG1sUEsFBgAAAAAEAAQA9QAAAIsDAAAAAA==&#10;" filled="f" strokecolor="#a5a5a5 [2092]" strokeweight="1pt">
                  <v:stroke dashstyle="dash" joinstyle="miter"/>
                  <v:textbox>
                    <w:txbxContent>
                      <w:p w14:paraId="57BEFD8E" w14:textId="77777777" w:rsidR="00A56D1A" w:rsidRDefault="00A56D1A" w:rsidP="001E0F01">
                        <w:pPr>
                          <w:pStyle w:val="NormaleWeb"/>
                          <w:spacing w:before="0" w:beforeAutospacing="0" w:after="0" w:afterAutospacing="0"/>
                          <w:jc w:val="center"/>
                        </w:pPr>
                        <w:proofErr w:type="gramStart"/>
                        <w:r>
                          <w:rPr>
                            <w:color w:val="808080" w:themeColor="background1" w:themeShade="80"/>
                            <w:kern w:val="24"/>
                            <w:sz w:val="16"/>
                            <w:szCs w:val="16"/>
                          </w:rPr>
                          <w:t>Fornitori  componenti</w:t>
                        </w:r>
                        <w:proofErr w:type="gramEnd"/>
                      </w:p>
                    </w:txbxContent>
                  </v:textbox>
                </v:oval>
                <v:shape id="Connettore 2 87" o:spid="_x0000_s1060" type="#_x0000_t32" style="position:absolute;left:13839;top:14089;width:22613;height:1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zUdMgAAADbAAAADwAAAGRycy9kb3ducmV2LnhtbESP3UrDQBSE7wXfYTlCb6TdNEINabfF&#10;FgoWLdIfCr07ZI9JNHs27K5p9OldQejlMDPfMLNFbxrRkfO1ZQXjUQKCuLC65lLB8bAeZiB8QNbY&#10;WCYF3+RhMb+9mWGu7YV31O1DKSKEfY4KqhDaXEpfVGTQj2xLHL136wyGKF0ptcNLhJtGpkkykQZr&#10;jgsVtrSqqPjcfxkFbw/pZLvZ/WTu/nzeLF+Wp9fuI1VqcNc/TUEE6sM1/N9+1gqyR/j7En+AnP8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ozUdMgAAADbAAAADwAAAAAA&#10;AAAAAAAAAAChAgAAZHJzL2Rvd25yZXYueG1sUEsFBgAAAAAEAAQA+QAAAJYDAAAAAA==&#10;" strokecolor="black [3213]" strokeweight="1pt">
                  <v:stroke endarrow="block" joinstyle="miter"/>
                </v:shape>
                <v:shape id="Connettore 2 88" o:spid="_x0000_s1061" type="#_x0000_t32" style="position:absolute;left:13839;top:15701;width:22613;height:1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zetcAAAADbAAAADwAAAGRycy9kb3ducmV2LnhtbERPzYrCMBC+C/sOYYS9yJpaQUptKrKi&#10;LCIrdn2AoRnbYjMpTdT69uYg7PHj+89Wg2nFnXrXWFYwm0YgiEurG64UnP+2XwkI55E1tpZJwZMc&#10;rPKPUYaptg8+0b3wlQgh7FJUUHvfpVK6siaDbmo74sBdbG/QB9hXUvf4COGmlXEULaTBhkNDjR19&#10;11Rei5tR0NwOx8XV7s+/m91kmJdtjFESK/U5HtZLEJ4G/y9+u3+0giSMDV/CD5D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M3rXAAAAA2wAAAA8AAAAAAAAAAAAAAAAA&#10;oQIAAGRycy9kb3ducmV2LnhtbFBLBQYAAAAABAAEAPkAAACOAwAAAAA=&#10;" strokecolor="black [3213]" strokeweight="1pt">
                  <v:stroke dashstyle="dash" endarrow="block" joinstyle="miter"/>
                </v:shape>
                <w10:wrap type="topAndBottom"/>
              </v:group>
            </w:pict>
          </mc:Fallback>
        </mc:AlternateContent>
      </w:r>
      <w:r w:rsidR="009241EE">
        <w:t>Nella tabella seguente viene rappresentato l’importo della transazione in esame.</w:t>
      </w:r>
      <w:r w:rsidR="008F3CA3">
        <w:t xml:space="preserve"> </w:t>
      </w:r>
    </w:p>
    <w:p w14:paraId="038C371C" w14:textId="77777777" w:rsidR="00A56D1A" w:rsidRPr="008F3CA3" w:rsidRDefault="00A56D1A" w:rsidP="00F16613"/>
    <w:tbl>
      <w:tblPr>
        <w:tblStyle w:val="Grigliatabella"/>
        <w:tblW w:w="0" w:type="auto"/>
        <w:tblLook w:val="04A0" w:firstRow="1" w:lastRow="0" w:firstColumn="1" w:lastColumn="0" w:noHBand="0" w:noVBand="1"/>
      </w:tblPr>
      <w:tblGrid>
        <w:gridCol w:w="451"/>
        <w:gridCol w:w="1914"/>
        <w:gridCol w:w="1665"/>
        <w:gridCol w:w="939"/>
        <w:gridCol w:w="1591"/>
        <w:gridCol w:w="989"/>
        <w:gridCol w:w="1399"/>
      </w:tblGrid>
      <w:tr w:rsidR="009241EE" w14:paraId="4C355BC4" w14:textId="77777777" w:rsidTr="00ED3E3F">
        <w:tc>
          <w:tcPr>
            <w:tcW w:w="451" w:type="dxa"/>
            <w:shd w:val="clear" w:color="auto" w:fill="00338D"/>
          </w:tcPr>
          <w:p w14:paraId="3CB8D083" w14:textId="77777777" w:rsidR="009241EE" w:rsidRDefault="009241EE" w:rsidP="00ED3E3F">
            <w:pPr>
              <w:pStyle w:val="Nessunaspaziatura"/>
              <w:rPr>
                <w:b/>
                <w:color w:val="FFFFFF" w:themeColor="background1"/>
              </w:rPr>
            </w:pPr>
          </w:p>
        </w:tc>
        <w:tc>
          <w:tcPr>
            <w:tcW w:w="1914" w:type="dxa"/>
            <w:shd w:val="clear" w:color="auto" w:fill="00338D"/>
            <w:vAlign w:val="center"/>
          </w:tcPr>
          <w:p w14:paraId="192415FF" w14:textId="77777777" w:rsidR="009241EE" w:rsidRPr="00610F1F" w:rsidRDefault="009241EE" w:rsidP="00ED3E3F">
            <w:pPr>
              <w:pStyle w:val="Nessunaspaziatura"/>
              <w:rPr>
                <w:b/>
                <w:color w:val="FFFFFF" w:themeColor="background1"/>
              </w:rPr>
            </w:pPr>
            <w:r>
              <w:rPr>
                <w:b/>
                <w:color w:val="FFFFFF" w:themeColor="background1"/>
              </w:rPr>
              <w:t>Transazione</w:t>
            </w:r>
          </w:p>
        </w:tc>
        <w:tc>
          <w:tcPr>
            <w:tcW w:w="1665" w:type="dxa"/>
            <w:shd w:val="clear" w:color="auto" w:fill="00338D"/>
            <w:vAlign w:val="center"/>
          </w:tcPr>
          <w:p w14:paraId="186C9A67" w14:textId="77777777" w:rsidR="009241EE" w:rsidRPr="00610F1F" w:rsidRDefault="009241EE" w:rsidP="00ED3E3F">
            <w:pPr>
              <w:pStyle w:val="Nessunaspaziatura"/>
              <w:rPr>
                <w:b/>
                <w:color w:val="FFFFFF" w:themeColor="background1"/>
              </w:rPr>
            </w:pPr>
            <w:r>
              <w:rPr>
                <w:b/>
                <w:color w:val="FFFFFF" w:themeColor="background1"/>
              </w:rPr>
              <w:t>Cedente / Prestatore</w:t>
            </w:r>
          </w:p>
        </w:tc>
        <w:tc>
          <w:tcPr>
            <w:tcW w:w="939" w:type="dxa"/>
            <w:shd w:val="clear" w:color="auto" w:fill="00338D"/>
            <w:vAlign w:val="center"/>
          </w:tcPr>
          <w:p w14:paraId="196C0ED4" w14:textId="77777777" w:rsidR="009241EE" w:rsidRDefault="009241EE" w:rsidP="00ED3E3F">
            <w:pPr>
              <w:pStyle w:val="Nessunaspaziatura"/>
              <w:rPr>
                <w:b/>
                <w:color w:val="FFFFFF" w:themeColor="background1"/>
              </w:rPr>
            </w:pPr>
            <w:r>
              <w:rPr>
                <w:b/>
                <w:color w:val="FFFFFF" w:themeColor="background1"/>
              </w:rPr>
              <w:t>Paese</w:t>
            </w:r>
          </w:p>
        </w:tc>
        <w:tc>
          <w:tcPr>
            <w:tcW w:w="1591" w:type="dxa"/>
            <w:shd w:val="clear" w:color="auto" w:fill="00338D"/>
            <w:vAlign w:val="center"/>
          </w:tcPr>
          <w:p w14:paraId="61819156" w14:textId="77777777" w:rsidR="009241EE" w:rsidRPr="00610F1F" w:rsidRDefault="009241EE" w:rsidP="00ED3E3F">
            <w:pPr>
              <w:pStyle w:val="Nessunaspaziatura"/>
              <w:rPr>
                <w:b/>
                <w:color w:val="FFFFFF" w:themeColor="background1"/>
              </w:rPr>
            </w:pPr>
            <w:r>
              <w:rPr>
                <w:b/>
                <w:color w:val="FFFFFF" w:themeColor="background1"/>
              </w:rPr>
              <w:t>Cessionario / Beneficiario</w:t>
            </w:r>
          </w:p>
        </w:tc>
        <w:tc>
          <w:tcPr>
            <w:tcW w:w="989" w:type="dxa"/>
            <w:shd w:val="clear" w:color="auto" w:fill="00338D"/>
            <w:vAlign w:val="center"/>
          </w:tcPr>
          <w:p w14:paraId="42B18488" w14:textId="77777777" w:rsidR="009241EE" w:rsidRPr="00610F1F" w:rsidRDefault="009241EE" w:rsidP="00ED3E3F">
            <w:pPr>
              <w:pStyle w:val="Nessunaspaziatura"/>
              <w:rPr>
                <w:b/>
                <w:color w:val="FFFFFF" w:themeColor="background1"/>
              </w:rPr>
            </w:pPr>
            <w:r>
              <w:rPr>
                <w:b/>
                <w:color w:val="FFFFFF" w:themeColor="background1"/>
              </w:rPr>
              <w:t>Paese</w:t>
            </w:r>
          </w:p>
        </w:tc>
        <w:tc>
          <w:tcPr>
            <w:tcW w:w="1399" w:type="dxa"/>
            <w:shd w:val="clear" w:color="auto" w:fill="00338D"/>
            <w:vAlign w:val="center"/>
          </w:tcPr>
          <w:p w14:paraId="2F362BA6" w14:textId="77777777" w:rsidR="009241EE" w:rsidRPr="00610F1F" w:rsidRDefault="009241EE" w:rsidP="00ED3E3F">
            <w:pPr>
              <w:pStyle w:val="Nessunaspaziatura"/>
              <w:rPr>
                <w:b/>
                <w:color w:val="FFFFFF" w:themeColor="background1"/>
              </w:rPr>
            </w:pPr>
            <w:r>
              <w:rPr>
                <w:b/>
                <w:color w:val="FFFFFF" w:themeColor="background1"/>
              </w:rPr>
              <w:t>Importo</w:t>
            </w:r>
          </w:p>
        </w:tc>
      </w:tr>
      <w:tr w:rsidR="009241EE" w14:paraId="2C5F779F" w14:textId="77777777" w:rsidTr="00ED3E3F">
        <w:tc>
          <w:tcPr>
            <w:tcW w:w="451" w:type="dxa"/>
          </w:tcPr>
          <w:p w14:paraId="360E4D96" w14:textId="5BD6F68F" w:rsidR="009241EE" w:rsidRPr="00610F1F" w:rsidRDefault="009241EE" w:rsidP="007D187C">
            <w:pPr>
              <w:pStyle w:val="Nessunaspaziatura"/>
              <w:rPr>
                <w:b/>
              </w:rPr>
            </w:pPr>
            <w:r>
              <w:rPr>
                <w:b/>
              </w:rPr>
              <w:t>T</w:t>
            </w:r>
            <w:r w:rsidR="0058668F">
              <w:rPr>
                <w:b/>
              </w:rPr>
              <w:t>3</w:t>
            </w:r>
          </w:p>
        </w:tc>
        <w:tc>
          <w:tcPr>
            <w:tcW w:w="1914" w:type="dxa"/>
            <w:vAlign w:val="center"/>
          </w:tcPr>
          <w:p w14:paraId="5DC35619" w14:textId="77777777" w:rsidR="009241EE" w:rsidRPr="00610F1F" w:rsidRDefault="009241EE" w:rsidP="00ED3E3F">
            <w:pPr>
              <w:pStyle w:val="Nessunaspaziatura"/>
              <w:rPr>
                <w:b/>
              </w:rPr>
            </w:pPr>
            <w:r>
              <w:rPr>
                <w:b/>
              </w:rPr>
              <w:t>Componenti</w:t>
            </w:r>
          </w:p>
        </w:tc>
        <w:tc>
          <w:tcPr>
            <w:tcW w:w="1665" w:type="dxa"/>
            <w:vAlign w:val="center"/>
          </w:tcPr>
          <w:p w14:paraId="29CAD86C" w14:textId="77777777" w:rsidR="009241EE" w:rsidRDefault="009241EE" w:rsidP="00ED3E3F">
            <w:pPr>
              <w:pStyle w:val="Nessunaspaziatura"/>
            </w:pPr>
            <w:proofErr w:type="spellStart"/>
            <w:r>
              <w:t>Viney</w:t>
            </w:r>
            <w:proofErr w:type="spellEnd"/>
          </w:p>
        </w:tc>
        <w:tc>
          <w:tcPr>
            <w:tcW w:w="939" w:type="dxa"/>
            <w:vAlign w:val="center"/>
          </w:tcPr>
          <w:p w14:paraId="65DD6AD1" w14:textId="77777777" w:rsidR="009241EE" w:rsidRDefault="009241EE" w:rsidP="00ED3E3F">
            <w:pPr>
              <w:pStyle w:val="Nessunaspaziatura"/>
            </w:pPr>
            <w:r>
              <w:t>India</w:t>
            </w:r>
          </w:p>
        </w:tc>
        <w:tc>
          <w:tcPr>
            <w:tcW w:w="1591" w:type="dxa"/>
            <w:vAlign w:val="center"/>
          </w:tcPr>
          <w:p w14:paraId="7A57CDFB" w14:textId="77777777" w:rsidR="009241EE" w:rsidRDefault="009241EE" w:rsidP="00ED3E3F">
            <w:pPr>
              <w:pStyle w:val="Nessunaspaziatura"/>
            </w:pPr>
            <w:r>
              <w:t>Vimercati S.p.A.</w:t>
            </w:r>
          </w:p>
        </w:tc>
        <w:tc>
          <w:tcPr>
            <w:tcW w:w="989" w:type="dxa"/>
            <w:vAlign w:val="center"/>
          </w:tcPr>
          <w:p w14:paraId="15861245" w14:textId="77777777" w:rsidR="009241EE" w:rsidRDefault="009241EE" w:rsidP="00ED3E3F">
            <w:pPr>
              <w:pStyle w:val="Nessunaspaziatura"/>
            </w:pPr>
            <w:r>
              <w:t>Italia</w:t>
            </w:r>
          </w:p>
        </w:tc>
        <w:tc>
          <w:tcPr>
            <w:tcW w:w="1399" w:type="dxa"/>
            <w:vAlign w:val="center"/>
          </w:tcPr>
          <w:p w14:paraId="53778CC0" w14:textId="5C284529" w:rsidR="009241EE" w:rsidRDefault="009241EE" w:rsidP="00FB3159">
            <w:pPr>
              <w:pStyle w:val="Nessunaspaziatura"/>
              <w:jc w:val="right"/>
            </w:pPr>
            <w:r>
              <w:t xml:space="preserve">€ </w:t>
            </w:r>
            <w:r w:rsidR="00875176">
              <w:t>2.869.953</w:t>
            </w:r>
            <w:r w:rsidR="00875176" w:rsidRPr="00875176">
              <w:t xml:space="preserve">   </w:t>
            </w:r>
          </w:p>
        </w:tc>
      </w:tr>
    </w:tbl>
    <w:p w14:paraId="0628AC7F" w14:textId="77777777" w:rsidR="009241EE" w:rsidRPr="000440ED" w:rsidRDefault="009241EE" w:rsidP="007D187C">
      <w:pPr>
        <w:keepNext/>
        <w:rPr>
          <w:i/>
          <w:u w:val="single"/>
        </w:rPr>
      </w:pPr>
      <w:r>
        <w:rPr>
          <w:i/>
          <w:u w:val="single"/>
        </w:rPr>
        <w:t>M</w:t>
      </w:r>
      <w:r w:rsidRPr="000440ED">
        <w:rPr>
          <w:i/>
          <w:u w:val="single"/>
        </w:rPr>
        <w:t>otivazioni giuridico economico</w:t>
      </w:r>
    </w:p>
    <w:p w14:paraId="616E4433" w14:textId="0CA17943" w:rsidR="009241EE" w:rsidRDefault="008F3CA3" w:rsidP="008F3CA3">
      <w:pPr>
        <w:keepNext/>
      </w:pPr>
      <w:r w:rsidRPr="008F3CA3">
        <w:t>Trattasi di componenti utilizzati per la produzione. Le ragioni economiche sottese a tale transazione constano nella necessità di fare affidamento ad un fornitore affidabile in grado di fornire componenti rispondenti alle caratteristiche tecnico-qualitative richieste, incrementando al contempo l’efficienza produttiva, in un contesto di mercato fortemente competitivo, caratterizzato da forti pressioni sui prezzi da parte delle case automobilistiche.</w:t>
      </w:r>
    </w:p>
    <w:p w14:paraId="1C279D2E" w14:textId="77777777" w:rsidR="00F16613" w:rsidRPr="00F16613" w:rsidRDefault="00F16613" w:rsidP="00F16613">
      <w:pPr>
        <w:pStyle w:val="Titolo2"/>
        <w:ind w:left="810"/>
        <w:rPr>
          <w:lang w:eastAsia="ja-JP"/>
        </w:rPr>
      </w:pPr>
      <w:r>
        <w:rPr>
          <w:lang w:eastAsia="ja-JP"/>
        </w:rPr>
        <w:br w:type="page"/>
      </w:r>
    </w:p>
    <w:p w14:paraId="73F68B79" w14:textId="0B0694D3" w:rsidR="009241EE" w:rsidRDefault="00C86569" w:rsidP="00C86569">
      <w:pPr>
        <w:pStyle w:val="Titolo2"/>
        <w:numPr>
          <w:ilvl w:val="1"/>
          <w:numId w:val="5"/>
        </w:numPr>
        <w:rPr>
          <w:lang w:eastAsia="ja-JP"/>
        </w:rPr>
      </w:pPr>
      <w:bookmarkStart w:id="29" w:name="_Toc25674090"/>
      <w:commentRangeStart w:id="30"/>
      <w:r>
        <w:rPr>
          <w:lang w:eastAsia="ja-JP"/>
        </w:rPr>
        <w:lastRenderedPageBreak/>
        <w:t>Transazioni residuali</w:t>
      </w:r>
      <w:commentRangeEnd w:id="30"/>
      <w:r w:rsidR="00683F51">
        <w:rPr>
          <w:rStyle w:val="Rimandocommento"/>
          <w:rFonts w:eastAsiaTheme="minorHAnsi" w:cstheme="minorBidi"/>
          <w:b w:val="0"/>
        </w:rPr>
        <w:commentReference w:id="30"/>
      </w:r>
      <w:bookmarkEnd w:id="29"/>
    </w:p>
    <w:p w14:paraId="114C16E9" w14:textId="2E0629E3" w:rsidR="00683F51" w:rsidRDefault="00683F51" w:rsidP="00683F51">
      <w:pPr>
        <w:pStyle w:val="Testo"/>
        <w:tabs>
          <w:tab w:val="left" w:pos="0"/>
        </w:tabs>
        <w:rPr>
          <w:iCs/>
          <w:lang w:val="it-IT"/>
        </w:rPr>
      </w:pPr>
      <w:r w:rsidRPr="00305869">
        <w:rPr>
          <w:iCs/>
          <w:lang w:val="it-IT"/>
        </w:rPr>
        <w:t>Oltre alle transazioni analizzate nei precedenti paragrafi, sono state effettuate dalla Società delle operazioni infragruppo considerate residuali rispetto al totale delle operazioni infragruppo analizzate in questo Documento, o in termini di valore o in termini di natura e tipologia della transazione, che non hanno principale rilevanza nel contesto generale del core-business della Società nell’arco dell’anno 201</w:t>
      </w:r>
      <w:r>
        <w:rPr>
          <w:iCs/>
          <w:lang w:val="it-IT"/>
        </w:rPr>
        <w:t>8</w:t>
      </w:r>
      <w:r w:rsidRPr="00305869">
        <w:rPr>
          <w:iCs/>
          <w:lang w:val="it-IT"/>
        </w:rPr>
        <w:t>.</w:t>
      </w:r>
    </w:p>
    <w:p w14:paraId="2F17AD81" w14:textId="77777777" w:rsidR="00683F51" w:rsidRPr="00C86569" w:rsidRDefault="00683F51" w:rsidP="00683F51">
      <w:pPr>
        <w:rPr>
          <w:lang w:eastAsia="ja-JP"/>
        </w:rPr>
      </w:pPr>
      <w:r>
        <w:rPr>
          <w:lang w:eastAsia="ja-JP"/>
        </w:rPr>
        <w:t>La tabella seguente riporta i valori di tali transazioni residuali.</w:t>
      </w:r>
    </w:p>
    <w:p w14:paraId="3A6804EE" w14:textId="77777777" w:rsidR="00683F51" w:rsidRDefault="00683F51" w:rsidP="00683F51">
      <w:pPr>
        <w:spacing w:after="40"/>
        <w:rPr>
          <w:b/>
          <w:sz w:val="18"/>
          <w:lang w:eastAsia="ja-JP"/>
        </w:rPr>
      </w:pPr>
      <w:r>
        <w:rPr>
          <w:b/>
          <w:sz w:val="18"/>
          <w:lang w:eastAsia="ja-JP"/>
        </w:rPr>
        <w:t>Tabella: Operazioni infragruppo residuali</w:t>
      </w:r>
    </w:p>
    <w:tbl>
      <w:tblPr>
        <w:tblStyle w:val="Grigliatabella"/>
        <w:tblW w:w="0" w:type="auto"/>
        <w:tblLayout w:type="fixed"/>
        <w:tblLook w:val="04A0" w:firstRow="1" w:lastRow="0" w:firstColumn="1" w:lastColumn="0" w:noHBand="0" w:noVBand="1"/>
      </w:tblPr>
      <w:tblGrid>
        <w:gridCol w:w="1838"/>
        <w:gridCol w:w="1806"/>
        <w:gridCol w:w="939"/>
        <w:gridCol w:w="1482"/>
        <w:gridCol w:w="1301"/>
        <w:gridCol w:w="1582"/>
      </w:tblGrid>
      <w:tr w:rsidR="00683F51" w14:paraId="39AA38D6" w14:textId="77777777" w:rsidTr="00683F51">
        <w:trPr>
          <w:tblHeader/>
        </w:trPr>
        <w:tc>
          <w:tcPr>
            <w:tcW w:w="1838" w:type="dxa"/>
            <w:shd w:val="clear" w:color="auto" w:fill="00338D"/>
            <w:vAlign w:val="center"/>
          </w:tcPr>
          <w:p w14:paraId="2CDFE51D" w14:textId="77777777" w:rsidR="00683F51" w:rsidRPr="00610F1F" w:rsidRDefault="00683F51" w:rsidP="00683F51">
            <w:pPr>
              <w:pStyle w:val="Nessunaspaziatura"/>
              <w:rPr>
                <w:b/>
                <w:color w:val="FFFFFF" w:themeColor="background1"/>
              </w:rPr>
            </w:pPr>
            <w:r>
              <w:rPr>
                <w:b/>
                <w:color w:val="FFFFFF" w:themeColor="background1"/>
              </w:rPr>
              <w:t>Transazioni residuali</w:t>
            </w:r>
          </w:p>
        </w:tc>
        <w:tc>
          <w:tcPr>
            <w:tcW w:w="1806" w:type="dxa"/>
            <w:shd w:val="clear" w:color="auto" w:fill="00338D"/>
            <w:vAlign w:val="center"/>
          </w:tcPr>
          <w:p w14:paraId="246545C8" w14:textId="77777777" w:rsidR="00683F51" w:rsidRPr="00610F1F" w:rsidRDefault="00683F51" w:rsidP="00683F51">
            <w:pPr>
              <w:pStyle w:val="Nessunaspaziatura"/>
              <w:rPr>
                <w:b/>
                <w:color w:val="FFFFFF" w:themeColor="background1"/>
              </w:rPr>
            </w:pPr>
            <w:r>
              <w:rPr>
                <w:b/>
                <w:color w:val="FFFFFF" w:themeColor="background1"/>
              </w:rPr>
              <w:t>Cedente / Prestatore</w:t>
            </w:r>
          </w:p>
        </w:tc>
        <w:tc>
          <w:tcPr>
            <w:tcW w:w="939" w:type="dxa"/>
            <w:shd w:val="clear" w:color="auto" w:fill="00338D"/>
            <w:vAlign w:val="center"/>
          </w:tcPr>
          <w:p w14:paraId="5C32BEA1" w14:textId="77777777" w:rsidR="00683F51" w:rsidRDefault="00683F51" w:rsidP="00683F51">
            <w:pPr>
              <w:pStyle w:val="Nessunaspaziatura"/>
              <w:rPr>
                <w:b/>
                <w:color w:val="FFFFFF" w:themeColor="background1"/>
              </w:rPr>
            </w:pPr>
            <w:r>
              <w:rPr>
                <w:b/>
                <w:color w:val="FFFFFF" w:themeColor="background1"/>
              </w:rPr>
              <w:t>Paese</w:t>
            </w:r>
          </w:p>
        </w:tc>
        <w:tc>
          <w:tcPr>
            <w:tcW w:w="1482" w:type="dxa"/>
            <w:shd w:val="clear" w:color="auto" w:fill="00338D"/>
            <w:vAlign w:val="center"/>
          </w:tcPr>
          <w:p w14:paraId="21C81070" w14:textId="77777777" w:rsidR="00683F51" w:rsidRPr="00610F1F" w:rsidRDefault="00683F51" w:rsidP="00683F51">
            <w:pPr>
              <w:pStyle w:val="Nessunaspaziatura"/>
              <w:rPr>
                <w:b/>
                <w:color w:val="FFFFFF" w:themeColor="background1"/>
              </w:rPr>
            </w:pPr>
            <w:r>
              <w:rPr>
                <w:b/>
                <w:color w:val="FFFFFF" w:themeColor="background1"/>
              </w:rPr>
              <w:t>Cessionario / Beneficiario</w:t>
            </w:r>
          </w:p>
        </w:tc>
        <w:tc>
          <w:tcPr>
            <w:tcW w:w="1301" w:type="dxa"/>
            <w:shd w:val="clear" w:color="auto" w:fill="00338D"/>
            <w:vAlign w:val="center"/>
          </w:tcPr>
          <w:p w14:paraId="132B6C63" w14:textId="77777777" w:rsidR="00683F51" w:rsidRPr="00610F1F" w:rsidRDefault="00683F51" w:rsidP="00683F51">
            <w:pPr>
              <w:pStyle w:val="Nessunaspaziatura"/>
              <w:rPr>
                <w:b/>
                <w:color w:val="FFFFFF" w:themeColor="background1"/>
              </w:rPr>
            </w:pPr>
            <w:r>
              <w:rPr>
                <w:b/>
                <w:color w:val="FFFFFF" w:themeColor="background1"/>
              </w:rPr>
              <w:t>Paese</w:t>
            </w:r>
          </w:p>
        </w:tc>
        <w:tc>
          <w:tcPr>
            <w:tcW w:w="1582" w:type="dxa"/>
            <w:shd w:val="clear" w:color="auto" w:fill="00338D"/>
            <w:vAlign w:val="center"/>
          </w:tcPr>
          <w:p w14:paraId="03E9C153" w14:textId="77777777" w:rsidR="00683F51" w:rsidRPr="00610F1F" w:rsidRDefault="00683F51" w:rsidP="00683F51">
            <w:pPr>
              <w:pStyle w:val="Nessunaspaziatura"/>
              <w:jc w:val="right"/>
              <w:rPr>
                <w:b/>
                <w:color w:val="FFFFFF" w:themeColor="background1"/>
              </w:rPr>
            </w:pPr>
            <w:r>
              <w:rPr>
                <w:b/>
                <w:color w:val="FFFFFF" w:themeColor="background1"/>
              </w:rPr>
              <w:t>Importo (€)</w:t>
            </w:r>
          </w:p>
        </w:tc>
      </w:tr>
      <w:tr w:rsidR="00683F51" w:rsidRPr="00005149" w14:paraId="28443360" w14:textId="77777777" w:rsidTr="00683F51">
        <w:tc>
          <w:tcPr>
            <w:tcW w:w="1838" w:type="dxa"/>
            <w:vMerge w:val="restart"/>
            <w:vAlign w:val="center"/>
          </w:tcPr>
          <w:p w14:paraId="52533F9C" w14:textId="77777777" w:rsidR="00683F51" w:rsidRPr="00005149" w:rsidRDefault="00683F51" w:rsidP="00683F51">
            <w:pPr>
              <w:pStyle w:val="Nessunaspaziatura"/>
              <w:rPr>
                <w:b/>
                <w:sz w:val="22"/>
              </w:rPr>
            </w:pPr>
            <w:r>
              <w:rPr>
                <w:b/>
              </w:rPr>
              <w:t>Materiali vari</w:t>
            </w:r>
          </w:p>
        </w:tc>
        <w:tc>
          <w:tcPr>
            <w:tcW w:w="1806" w:type="dxa"/>
          </w:tcPr>
          <w:p w14:paraId="5EBC23A7" w14:textId="77777777" w:rsidR="00683F51" w:rsidRPr="00005149" w:rsidRDefault="00683F51" w:rsidP="00683F51">
            <w:pPr>
              <w:pStyle w:val="Nessunaspaziatura"/>
              <w:rPr>
                <w:sz w:val="22"/>
              </w:rPr>
            </w:pPr>
            <w:r>
              <w:t xml:space="preserve">Vimercati </w:t>
            </w:r>
          </w:p>
        </w:tc>
        <w:tc>
          <w:tcPr>
            <w:tcW w:w="939" w:type="dxa"/>
          </w:tcPr>
          <w:p w14:paraId="72B0B1A7" w14:textId="77777777" w:rsidR="00683F51" w:rsidRPr="00005149" w:rsidRDefault="00683F51" w:rsidP="00683F51">
            <w:pPr>
              <w:pStyle w:val="Nessunaspaziatura"/>
              <w:rPr>
                <w:sz w:val="22"/>
              </w:rPr>
            </w:pPr>
            <w:r>
              <w:t>Italia</w:t>
            </w:r>
          </w:p>
        </w:tc>
        <w:tc>
          <w:tcPr>
            <w:tcW w:w="1482" w:type="dxa"/>
          </w:tcPr>
          <w:p w14:paraId="7F9C5AC3" w14:textId="77777777" w:rsidR="00683F51" w:rsidRPr="00005149" w:rsidRDefault="00683F51" w:rsidP="00683F51">
            <w:pPr>
              <w:pStyle w:val="Nessunaspaziatura"/>
              <w:rPr>
                <w:sz w:val="22"/>
              </w:rPr>
            </w:pPr>
            <w:proofErr w:type="spellStart"/>
            <w:r>
              <w:t>Viney</w:t>
            </w:r>
            <w:proofErr w:type="spellEnd"/>
          </w:p>
        </w:tc>
        <w:tc>
          <w:tcPr>
            <w:tcW w:w="1301" w:type="dxa"/>
          </w:tcPr>
          <w:p w14:paraId="2C52D7DD" w14:textId="77777777" w:rsidR="00683F51" w:rsidRPr="00005149" w:rsidRDefault="00683F51" w:rsidP="00683F51">
            <w:pPr>
              <w:pStyle w:val="Nessunaspaziatura"/>
              <w:rPr>
                <w:sz w:val="22"/>
              </w:rPr>
            </w:pPr>
            <w:r>
              <w:t>India</w:t>
            </w:r>
          </w:p>
        </w:tc>
        <w:tc>
          <w:tcPr>
            <w:tcW w:w="1582" w:type="dxa"/>
            <w:vAlign w:val="center"/>
          </w:tcPr>
          <w:p w14:paraId="012FF7DB" w14:textId="77777777" w:rsidR="00683F51" w:rsidRPr="00005149" w:rsidRDefault="00683F51" w:rsidP="00683F51">
            <w:pPr>
              <w:pStyle w:val="Nessunaspaziatura"/>
              <w:jc w:val="right"/>
              <w:rPr>
                <w:sz w:val="22"/>
              </w:rPr>
            </w:pPr>
            <w:r w:rsidRPr="003C38F1">
              <w:t xml:space="preserve"> 687.000   </w:t>
            </w:r>
          </w:p>
        </w:tc>
      </w:tr>
      <w:tr w:rsidR="00683F51" w:rsidRPr="00005149" w14:paraId="7A52C9E3" w14:textId="77777777" w:rsidTr="00BF16E4">
        <w:tc>
          <w:tcPr>
            <w:tcW w:w="1838" w:type="dxa"/>
            <w:vMerge/>
            <w:vAlign w:val="center"/>
          </w:tcPr>
          <w:p w14:paraId="5B73A0CC" w14:textId="77777777" w:rsidR="00683F51" w:rsidRPr="00005149" w:rsidRDefault="00683F51" w:rsidP="00683F51">
            <w:pPr>
              <w:pStyle w:val="Nessunaspaziatura"/>
              <w:rPr>
                <w:b/>
                <w:sz w:val="22"/>
              </w:rPr>
            </w:pPr>
          </w:p>
        </w:tc>
        <w:tc>
          <w:tcPr>
            <w:tcW w:w="1806" w:type="dxa"/>
            <w:vAlign w:val="center"/>
          </w:tcPr>
          <w:p w14:paraId="7DEC9CEB" w14:textId="77777777" w:rsidR="00683F51" w:rsidRPr="00005149" w:rsidRDefault="00683F51" w:rsidP="00683F51">
            <w:pPr>
              <w:pStyle w:val="Nessunaspaziatura"/>
              <w:rPr>
                <w:sz w:val="22"/>
              </w:rPr>
            </w:pPr>
            <w:r>
              <w:t xml:space="preserve">Vimercati </w:t>
            </w:r>
          </w:p>
        </w:tc>
        <w:tc>
          <w:tcPr>
            <w:tcW w:w="939" w:type="dxa"/>
            <w:vAlign w:val="center"/>
          </w:tcPr>
          <w:p w14:paraId="794CCD9E" w14:textId="77777777" w:rsidR="00683F51" w:rsidRPr="00005149" w:rsidRDefault="00683F51" w:rsidP="00683F51">
            <w:pPr>
              <w:pStyle w:val="Nessunaspaziatura"/>
              <w:rPr>
                <w:sz w:val="22"/>
              </w:rPr>
            </w:pPr>
            <w:r>
              <w:t>Italia</w:t>
            </w:r>
          </w:p>
        </w:tc>
        <w:tc>
          <w:tcPr>
            <w:tcW w:w="1482" w:type="dxa"/>
            <w:vAlign w:val="center"/>
          </w:tcPr>
          <w:p w14:paraId="1279161F" w14:textId="77777777" w:rsidR="00683F51" w:rsidRPr="00413DFC" w:rsidRDefault="00683F51" w:rsidP="00683F51">
            <w:pPr>
              <w:pStyle w:val="Nessunaspaziatura"/>
              <w:rPr>
                <w:sz w:val="22"/>
                <w:lang w:val="en-US"/>
              </w:rPr>
            </w:pPr>
            <w:proofErr w:type="spellStart"/>
            <w:r w:rsidRPr="00413DFC">
              <w:rPr>
                <w:lang w:val="en-US"/>
              </w:rPr>
              <w:t>Viney</w:t>
            </w:r>
            <w:proofErr w:type="spellEnd"/>
            <w:r w:rsidRPr="00413DFC">
              <w:rPr>
                <w:lang w:val="en-US"/>
              </w:rPr>
              <w:t xml:space="preserve"> Corporation East Europe S.r.l. </w:t>
            </w:r>
          </w:p>
        </w:tc>
        <w:tc>
          <w:tcPr>
            <w:tcW w:w="1301" w:type="dxa"/>
            <w:vAlign w:val="center"/>
          </w:tcPr>
          <w:p w14:paraId="4A525025" w14:textId="77777777" w:rsidR="00683F51" w:rsidRPr="00005149" w:rsidRDefault="00683F51" w:rsidP="00683F51">
            <w:pPr>
              <w:pStyle w:val="Nessunaspaziatura"/>
              <w:rPr>
                <w:sz w:val="22"/>
              </w:rPr>
            </w:pPr>
            <w:r w:rsidRPr="00F45896">
              <w:t>Romania</w:t>
            </w:r>
          </w:p>
        </w:tc>
        <w:tc>
          <w:tcPr>
            <w:tcW w:w="1582" w:type="dxa"/>
            <w:vAlign w:val="center"/>
          </w:tcPr>
          <w:p w14:paraId="52D96DB6" w14:textId="77777777" w:rsidR="00683F51" w:rsidRPr="00005149" w:rsidRDefault="00683F51" w:rsidP="00683F51">
            <w:pPr>
              <w:pStyle w:val="Nessunaspaziatura"/>
              <w:jc w:val="right"/>
              <w:rPr>
                <w:sz w:val="22"/>
              </w:rPr>
            </w:pPr>
            <w:r w:rsidRPr="003C38F1">
              <w:t xml:space="preserve"> 437.000   </w:t>
            </w:r>
          </w:p>
        </w:tc>
      </w:tr>
      <w:tr w:rsidR="00683F51" w:rsidRPr="007147E3" w14:paraId="65239D1F" w14:textId="77777777" w:rsidTr="00683F51">
        <w:tc>
          <w:tcPr>
            <w:tcW w:w="1838" w:type="dxa"/>
            <w:vMerge/>
            <w:vAlign w:val="center"/>
          </w:tcPr>
          <w:p w14:paraId="55180372" w14:textId="77777777" w:rsidR="00683F51" w:rsidRPr="00005149" w:rsidRDefault="00683F51" w:rsidP="00683F51">
            <w:pPr>
              <w:pStyle w:val="Nessunaspaziatura"/>
              <w:rPr>
                <w:b/>
                <w:sz w:val="22"/>
              </w:rPr>
            </w:pPr>
          </w:p>
        </w:tc>
        <w:tc>
          <w:tcPr>
            <w:tcW w:w="1806" w:type="dxa"/>
            <w:vAlign w:val="center"/>
          </w:tcPr>
          <w:p w14:paraId="15492188" w14:textId="77777777" w:rsidR="00683F51" w:rsidRPr="007147E3" w:rsidRDefault="00683F51" w:rsidP="00683F51">
            <w:pPr>
              <w:pStyle w:val="Nessunaspaziatura"/>
              <w:rPr>
                <w:lang w:val="en-US"/>
              </w:rPr>
            </w:pPr>
            <w:proofErr w:type="spellStart"/>
            <w:r>
              <w:rPr>
                <w:lang w:val="en-US"/>
              </w:rPr>
              <w:t>Vimercati</w:t>
            </w:r>
            <w:proofErr w:type="spellEnd"/>
          </w:p>
        </w:tc>
        <w:tc>
          <w:tcPr>
            <w:tcW w:w="939" w:type="dxa"/>
            <w:vAlign w:val="center"/>
          </w:tcPr>
          <w:p w14:paraId="31980E36" w14:textId="77777777" w:rsidR="00683F51" w:rsidRDefault="00683F51" w:rsidP="00683F51">
            <w:pPr>
              <w:pStyle w:val="Nessunaspaziatura"/>
              <w:rPr>
                <w:lang w:val="en-US"/>
              </w:rPr>
            </w:pPr>
            <w:r>
              <w:rPr>
                <w:lang w:val="en-US"/>
              </w:rPr>
              <w:t>Italia</w:t>
            </w:r>
          </w:p>
        </w:tc>
        <w:tc>
          <w:tcPr>
            <w:tcW w:w="1482" w:type="dxa"/>
            <w:vAlign w:val="center"/>
          </w:tcPr>
          <w:p w14:paraId="3166031D" w14:textId="77777777" w:rsidR="00683F51" w:rsidRPr="003F7EAD" w:rsidRDefault="00683F51" w:rsidP="00683F51">
            <w:pPr>
              <w:pStyle w:val="Nessunaspaziatura"/>
            </w:pPr>
            <w:r w:rsidRPr="003F7EAD">
              <w:t>Vimercati East Europe S.r.l.</w:t>
            </w:r>
          </w:p>
        </w:tc>
        <w:tc>
          <w:tcPr>
            <w:tcW w:w="1301" w:type="dxa"/>
            <w:vAlign w:val="center"/>
          </w:tcPr>
          <w:p w14:paraId="31922CAE" w14:textId="77777777" w:rsidR="00683F51" w:rsidRPr="003F7EAD" w:rsidRDefault="00683F51" w:rsidP="00683F51">
            <w:pPr>
              <w:pStyle w:val="Nessunaspaziatura"/>
            </w:pPr>
            <w:r>
              <w:t>Romania</w:t>
            </w:r>
          </w:p>
        </w:tc>
        <w:tc>
          <w:tcPr>
            <w:tcW w:w="1582" w:type="dxa"/>
            <w:vAlign w:val="center"/>
          </w:tcPr>
          <w:p w14:paraId="4FC8CB14" w14:textId="77777777" w:rsidR="00683F51" w:rsidRPr="003C38F1" w:rsidRDefault="00683F51" w:rsidP="00683F51">
            <w:pPr>
              <w:pStyle w:val="Nessunaspaziatura"/>
              <w:jc w:val="right"/>
            </w:pPr>
            <w:r>
              <w:t>40.291</w:t>
            </w:r>
          </w:p>
        </w:tc>
      </w:tr>
      <w:tr w:rsidR="00683F51" w:rsidRPr="007147E3" w14:paraId="27663E78" w14:textId="77777777" w:rsidTr="00BF16E4">
        <w:tc>
          <w:tcPr>
            <w:tcW w:w="1838" w:type="dxa"/>
            <w:vMerge/>
            <w:vAlign w:val="center"/>
          </w:tcPr>
          <w:p w14:paraId="224FACD1" w14:textId="77777777" w:rsidR="00683F51" w:rsidRPr="00005149" w:rsidRDefault="00683F51" w:rsidP="00683F51">
            <w:pPr>
              <w:pStyle w:val="Nessunaspaziatura"/>
              <w:rPr>
                <w:b/>
                <w:sz w:val="22"/>
              </w:rPr>
            </w:pPr>
          </w:p>
        </w:tc>
        <w:tc>
          <w:tcPr>
            <w:tcW w:w="1806" w:type="dxa"/>
            <w:vAlign w:val="center"/>
          </w:tcPr>
          <w:p w14:paraId="65A59FBF" w14:textId="77777777" w:rsidR="00683F51" w:rsidRPr="007147E3" w:rsidRDefault="00683F51" w:rsidP="00683F51">
            <w:pPr>
              <w:pStyle w:val="Nessunaspaziatura"/>
              <w:rPr>
                <w:lang w:val="en-US"/>
              </w:rPr>
            </w:pPr>
            <w:proofErr w:type="spellStart"/>
            <w:r w:rsidRPr="007147E3">
              <w:rPr>
                <w:lang w:val="en-US"/>
              </w:rPr>
              <w:t>Viney</w:t>
            </w:r>
            <w:proofErr w:type="spellEnd"/>
            <w:r w:rsidRPr="007147E3">
              <w:rPr>
                <w:lang w:val="en-US"/>
              </w:rPr>
              <w:t xml:space="preserve"> Corporation East Europe S.r.l.</w:t>
            </w:r>
          </w:p>
        </w:tc>
        <w:tc>
          <w:tcPr>
            <w:tcW w:w="939" w:type="dxa"/>
            <w:vAlign w:val="center"/>
          </w:tcPr>
          <w:p w14:paraId="1DEE49B7" w14:textId="77777777" w:rsidR="00683F51" w:rsidRPr="007147E3" w:rsidRDefault="00683F51" w:rsidP="00683F51">
            <w:pPr>
              <w:pStyle w:val="Nessunaspaziatura"/>
              <w:rPr>
                <w:lang w:val="en-US"/>
              </w:rPr>
            </w:pPr>
            <w:r>
              <w:rPr>
                <w:lang w:val="en-US"/>
              </w:rPr>
              <w:t>Romania</w:t>
            </w:r>
          </w:p>
        </w:tc>
        <w:tc>
          <w:tcPr>
            <w:tcW w:w="1482" w:type="dxa"/>
            <w:vAlign w:val="center"/>
          </w:tcPr>
          <w:p w14:paraId="598EB776" w14:textId="77777777" w:rsidR="00683F51" w:rsidRPr="00413DFC" w:rsidRDefault="00683F51" w:rsidP="00683F51">
            <w:pPr>
              <w:pStyle w:val="Nessunaspaziatura"/>
              <w:rPr>
                <w:lang w:val="en-US"/>
              </w:rPr>
            </w:pPr>
            <w:proofErr w:type="spellStart"/>
            <w:r>
              <w:rPr>
                <w:lang w:val="en-US"/>
              </w:rPr>
              <w:t>Vimercati</w:t>
            </w:r>
            <w:proofErr w:type="spellEnd"/>
          </w:p>
        </w:tc>
        <w:tc>
          <w:tcPr>
            <w:tcW w:w="1301" w:type="dxa"/>
            <w:vAlign w:val="center"/>
          </w:tcPr>
          <w:p w14:paraId="53211CBB" w14:textId="77777777" w:rsidR="00683F51" w:rsidRPr="007147E3" w:rsidRDefault="00683F51" w:rsidP="00683F51">
            <w:pPr>
              <w:pStyle w:val="Nessunaspaziatura"/>
              <w:rPr>
                <w:lang w:val="en-US"/>
              </w:rPr>
            </w:pPr>
            <w:r>
              <w:rPr>
                <w:lang w:val="en-US"/>
              </w:rPr>
              <w:t>Italia</w:t>
            </w:r>
          </w:p>
        </w:tc>
        <w:tc>
          <w:tcPr>
            <w:tcW w:w="1582" w:type="dxa"/>
            <w:vAlign w:val="center"/>
          </w:tcPr>
          <w:p w14:paraId="38581D3B" w14:textId="77777777" w:rsidR="00683F51" w:rsidRPr="003F7EAD" w:rsidRDefault="00683F51" w:rsidP="00683F51">
            <w:pPr>
              <w:pStyle w:val="Nessunaspaziatura"/>
              <w:jc w:val="right"/>
            </w:pPr>
            <w:r>
              <w:t>734.866</w:t>
            </w:r>
            <w:r w:rsidRPr="003C38F1">
              <w:t xml:space="preserve">   </w:t>
            </w:r>
          </w:p>
        </w:tc>
      </w:tr>
      <w:tr w:rsidR="00683F51" w:rsidRPr="007147E3" w14:paraId="67742F0E" w14:textId="77777777" w:rsidTr="00683F51">
        <w:tc>
          <w:tcPr>
            <w:tcW w:w="1838" w:type="dxa"/>
            <w:vAlign w:val="center"/>
          </w:tcPr>
          <w:p w14:paraId="187759DD" w14:textId="77777777" w:rsidR="00683F51" w:rsidRPr="003F7EAD" w:rsidRDefault="00683F51" w:rsidP="00683F51">
            <w:pPr>
              <w:pStyle w:val="Nessunaspaziatura"/>
              <w:rPr>
                <w:b/>
              </w:rPr>
            </w:pPr>
            <w:r w:rsidRPr="003F7EAD">
              <w:rPr>
                <w:b/>
              </w:rPr>
              <w:t>Altre operazioni marginali</w:t>
            </w:r>
          </w:p>
        </w:tc>
        <w:tc>
          <w:tcPr>
            <w:tcW w:w="1806" w:type="dxa"/>
            <w:vAlign w:val="center"/>
          </w:tcPr>
          <w:p w14:paraId="35BF25B6" w14:textId="77777777" w:rsidR="00683F51" w:rsidRPr="003F7EAD" w:rsidRDefault="00683F51" w:rsidP="00683F51">
            <w:pPr>
              <w:pStyle w:val="Nessunaspaziatura"/>
            </w:pPr>
            <w:r w:rsidRPr="003F7EAD">
              <w:t>Vimercati East Europe S.r.l.</w:t>
            </w:r>
          </w:p>
        </w:tc>
        <w:tc>
          <w:tcPr>
            <w:tcW w:w="939" w:type="dxa"/>
            <w:vAlign w:val="center"/>
          </w:tcPr>
          <w:p w14:paraId="01169A54" w14:textId="77777777" w:rsidR="00683F51" w:rsidRPr="003F7EAD" w:rsidRDefault="00683F51" w:rsidP="00683F51">
            <w:pPr>
              <w:pStyle w:val="Nessunaspaziatura"/>
            </w:pPr>
            <w:r>
              <w:t>Romania</w:t>
            </w:r>
          </w:p>
        </w:tc>
        <w:tc>
          <w:tcPr>
            <w:tcW w:w="1482" w:type="dxa"/>
            <w:vAlign w:val="center"/>
          </w:tcPr>
          <w:p w14:paraId="5B2B2882" w14:textId="77777777" w:rsidR="00683F51" w:rsidRPr="003F7EAD" w:rsidRDefault="00683F51" w:rsidP="00683F51">
            <w:pPr>
              <w:pStyle w:val="Nessunaspaziatura"/>
            </w:pPr>
            <w:r>
              <w:t>Vimercati</w:t>
            </w:r>
          </w:p>
        </w:tc>
        <w:tc>
          <w:tcPr>
            <w:tcW w:w="1301" w:type="dxa"/>
            <w:vAlign w:val="center"/>
          </w:tcPr>
          <w:p w14:paraId="21BDF293" w14:textId="77777777" w:rsidR="00683F51" w:rsidRPr="003F7EAD" w:rsidRDefault="00683F51" w:rsidP="00683F51">
            <w:pPr>
              <w:pStyle w:val="Nessunaspaziatura"/>
            </w:pPr>
            <w:r>
              <w:t>Italia</w:t>
            </w:r>
          </w:p>
        </w:tc>
        <w:tc>
          <w:tcPr>
            <w:tcW w:w="1582" w:type="dxa"/>
            <w:vAlign w:val="center"/>
          </w:tcPr>
          <w:p w14:paraId="0F0FAD33" w14:textId="77777777" w:rsidR="00683F51" w:rsidRPr="003F7EAD" w:rsidDel="003F7EAD" w:rsidRDefault="00683F51" w:rsidP="00683F51">
            <w:pPr>
              <w:pStyle w:val="Nessunaspaziatura"/>
              <w:jc w:val="right"/>
            </w:pPr>
            <w:r>
              <w:t>38.010</w:t>
            </w:r>
          </w:p>
        </w:tc>
      </w:tr>
    </w:tbl>
    <w:p w14:paraId="350CF488" w14:textId="77777777" w:rsidR="00683F51" w:rsidRPr="00DC72F0" w:rsidRDefault="00683F51" w:rsidP="00683F51">
      <w:pPr>
        <w:rPr>
          <w:i/>
          <w:u w:val="single"/>
        </w:rPr>
      </w:pPr>
      <w:r w:rsidRPr="00DC72F0">
        <w:rPr>
          <w:i/>
          <w:u w:val="single"/>
        </w:rPr>
        <w:t>Motivazioni giuridico economico</w:t>
      </w:r>
    </w:p>
    <w:p w14:paraId="4D0DC2C6" w14:textId="77777777" w:rsidR="00683F51" w:rsidRDefault="00683F51" w:rsidP="00683F51">
      <w:r w:rsidRPr="00DC72F0">
        <w:rPr>
          <w:highlight w:val="yellow"/>
        </w:rPr>
        <w:t>Trattasi di riaddebiti di materiali vari.</w:t>
      </w:r>
      <w:r>
        <w:t xml:space="preserve"> </w:t>
      </w:r>
    </w:p>
    <w:p w14:paraId="3CCE1E63" w14:textId="77777777" w:rsidR="00C86569" w:rsidRDefault="00C86569">
      <w:pPr>
        <w:spacing w:before="0" w:after="160" w:line="259" w:lineRule="auto"/>
        <w:jc w:val="left"/>
        <w:rPr>
          <w:b/>
          <w:i/>
        </w:rPr>
      </w:pPr>
      <w:r>
        <w:rPr>
          <w:b/>
          <w:i/>
        </w:rPr>
        <w:br w:type="page"/>
      </w:r>
    </w:p>
    <w:p w14:paraId="259273B2" w14:textId="4B10FC15" w:rsidR="00C86569" w:rsidRDefault="00203A55" w:rsidP="00D27851">
      <w:pPr>
        <w:pStyle w:val="Titolo1"/>
        <w:numPr>
          <w:ilvl w:val="0"/>
          <w:numId w:val="5"/>
        </w:numPr>
        <w:spacing w:line="320" w:lineRule="exact"/>
        <w:ind w:left="714" w:hanging="357"/>
      </w:pPr>
      <w:bookmarkStart w:id="31" w:name="_Toc25674091"/>
      <w:r>
        <w:lastRenderedPageBreak/>
        <w:t>Operazioni infragruppo</w:t>
      </w:r>
      <w:bookmarkEnd w:id="31"/>
    </w:p>
    <w:p w14:paraId="02F6F142" w14:textId="64886367" w:rsidR="00D33C51" w:rsidRDefault="00D33C51" w:rsidP="00203A55">
      <w:pPr>
        <w:pStyle w:val="Titolo2"/>
        <w:numPr>
          <w:ilvl w:val="1"/>
          <w:numId w:val="5"/>
        </w:numPr>
      </w:pPr>
      <w:bookmarkStart w:id="32" w:name="_Toc17283189"/>
      <w:bookmarkStart w:id="33" w:name="_Toc17450414"/>
      <w:bookmarkStart w:id="34" w:name="_Toc17283190"/>
      <w:bookmarkStart w:id="35" w:name="_Toc17450415"/>
      <w:bookmarkStart w:id="36" w:name="_Toc17283191"/>
      <w:bookmarkStart w:id="37" w:name="_Toc17450416"/>
      <w:bookmarkStart w:id="38" w:name="_Toc17283192"/>
      <w:bookmarkStart w:id="39" w:name="_Toc17450417"/>
      <w:bookmarkStart w:id="40" w:name="_Toc17283193"/>
      <w:bookmarkStart w:id="41" w:name="_Toc17450418"/>
      <w:bookmarkStart w:id="42" w:name="_Toc25674093"/>
      <w:bookmarkEnd w:id="32"/>
      <w:bookmarkEnd w:id="33"/>
      <w:bookmarkEnd w:id="34"/>
      <w:bookmarkEnd w:id="35"/>
      <w:bookmarkEnd w:id="36"/>
      <w:bookmarkEnd w:id="37"/>
      <w:bookmarkEnd w:id="38"/>
      <w:bookmarkEnd w:id="39"/>
      <w:bookmarkEnd w:id="40"/>
      <w:bookmarkEnd w:id="41"/>
      <w:r>
        <w:t>Transazione T</w:t>
      </w:r>
      <w:r w:rsidR="0090429B">
        <w:t>1</w:t>
      </w:r>
      <w:r>
        <w:t xml:space="preserve"> – Produzione a contratto</w:t>
      </w:r>
      <w:bookmarkEnd w:id="42"/>
    </w:p>
    <w:p w14:paraId="3628BAED" w14:textId="373E09A3" w:rsidR="00EF0EEA" w:rsidRPr="00EF0EEA" w:rsidRDefault="00EF0EEA" w:rsidP="00EF0EEA">
      <w:pPr>
        <w:autoSpaceDE w:val="0"/>
        <w:autoSpaceDN w:val="0"/>
        <w:adjustRightInd w:val="0"/>
        <w:rPr>
          <w:rFonts w:cs="Tahoma"/>
        </w:rPr>
      </w:pPr>
      <w:r w:rsidRPr="00EF0EEA">
        <w:rPr>
          <w:rFonts w:cs="Tahoma"/>
        </w:rPr>
        <w:t xml:space="preserve">Nel corso del </w:t>
      </w:r>
      <w:r w:rsidR="007601A3" w:rsidRPr="00EF0EEA">
        <w:rPr>
          <w:rFonts w:cs="Tahoma"/>
        </w:rPr>
        <w:t>201</w:t>
      </w:r>
      <w:r w:rsidR="0090429B">
        <w:rPr>
          <w:rFonts w:cs="Tahoma"/>
        </w:rPr>
        <w:t>8</w:t>
      </w:r>
      <w:r w:rsidRPr="00EF0EEA">
        <w:rPr>
          <w:rFonts w:cs="Tahoma"/>
        </w:rPr>
        <w:t xml:space="preserve">, Vimercati ha richiesto alla controllata VEE di effettuare, presso il proprio stabilimento di </w:t>
      </w:r>
      <w:proofErr w:type="spellStart"/>
      <w:r w:rsidRPr="00EF0EEA">
        <w:rPr>
          <w:rFonts w:cs="Tahoma"/>
        </w:rPr>
        <w:t>Hemeius</w:t>
      </w:r>
      <w:proofErr w:type="spellEnd"/>
      <w:r w:rsidRPr="00EF0EEA">
        <w:rPr>
          <w:rFonts w:cs="Tahoma"/>
        </w:rPr>
        <w:t xml:space="preserve"> (Romania), la produzione di prodotti finiti e semilavorati. </w:t>
      </w:r>
    </w:p>
    <w:p w14:paraId="5397E0E0" w14:textId="572CF78A" w:rsidR="00EF0EEA" w:rsidRPr="00EF0EEA" w:rsidRDefault="00EF0EEA" w:rsidP="00EF0EEA">
      <w:pPr>
        <w:autoSpaceDE w:val="0"/>
        <w:autoSpaceDN w:val="0"/>
        <w:adjustRightInd w:val="0"/>
        <w:rPr>
          <w:rFonts w:cs="Tahoma"/>
        </w:rPr>
      </w:pPr>
      <w:r w:rsidRPr="00EF0EEA">
        <w:rPr>
          <w:rFonts w:cs="Tahoma"/>
        </w:rPr>
        <w:t>In tale contesto, VEE acquista le componenti necessarie per la realizzazione dei prodotti finiti e semifiniti. Terminato il processo produttivo, i prodotti finiti e semifiniti vengono venduti a Vimercati, per la loro successiva commercializzazione e distribuzione da parte della controllante italiana.</w:t>
      </w:r>
    </w:p>
    <w:p w14:paraId="7DDA9113" w14:textId="486A1A22" w:rsidR="00D33C51" w:rsidRPr="00EF0EEA" w:rsidRDefault="00EF0EEA" w:rsidP="00EF0EEA">
      <w:pPr>
        <w:autoSpaceDE w:val="0"/>
        <w:autoSpaceDN w:val="0"/>
        <w:adjustRightInd w:val="0"/>
        <w:rPr>
          <w:rFonts w:cs="Tahoma"/>
        </w:rPr>
      </w:pPr>
      <w:r w:rsidRPr="00EF0EEA">
        <w:rPr>
          <w:rFonts w:cs="Tahoma"/>
        </w:rPr>
        <w:t>Nell’ambito della transazione in esame, quindi, la controllata romena VEE opera quale “</w:t>
      </w:r>
      <w:proofErr w:type="spellStart"/>
      <w:r w:rsidRPr="00F16613">
        <w:rPr>
          <w:rFonts w:cs="Tahoma"/>
          <w:i/>
        </w:rPr>
        <w:t>contract</w:t>
      </w:r>
      <w:proofErr w:type="spellEnd"/>
      <w:r w:rsidRPr="00F16613">
        <w:rPr>
          <w:rFonts w:cs="Tahoma"/>
          <w:i/>
        </w:rPr>
        <w:t xml:space="preserve"> </w:t>
      </w:r>
      <w:proofErr w:type="spellStart"/>
      <w:r w:rsidRPr="00F16613">
        <w:rPr>
          <w:rFonts w:cs="Tahoma"/>
          <w:i/>
        </w:rPr>
        <w:t>manufacturer</w:t>
      </w:r>
      <w:proofErr w:type="spellEnd"/>
      <w:r w:rsidRPr="00EF0EEA">
        <w:rPr>
          <w:rFonts w:cs="Tahoma"/>
        </w:rPr>
        <w:t>” d</w:t>
      </w:r>
      <w:r>
        <w:rPr>
          <w:rFonts w:cs="Tahoma"/>
        </w:rPr>
        <w:t>ella controllante italiana.</w:t>
      </w:r>
    </w:p>
    <w:p w14:paraId="16072B40" w14:textId="620471FA" w:rsidR="00203A55" w:rsidRDefault="00203A55" w:rsidP="00203A55">
      <w:pPr>
        <w:pStyle w:val="Titolo2"/>
        <w:numPr>
          <w:ilvl w:val="1"/>
          <w:numId w:val="5"/>
        </w:numPr>
      </w:pPr>
      <w:bookmarkStart w:id="43" w:name="_Toc25674094"/>
      <w:r>
        <w:t>Transazione T</w:t>
      </w:r>
      <w:r w:rsidR="0090429B">
        <w:t>2</w:t>
      </w:r>
      <w:r>
        <w:t xml:space="preserve"> – </w:t>
      </w:r>
      <w:r w:rsidR="00D33C51">
        <w:t>Produzione</w:t>
      </w:r>
      <w:r>
        <w:t xml:space="preserve"> e vendita diretta di componenti</w:t>
      </w:r>
      <w:bookmarkEnd w:id="43"/>
    </w:p>
    <w:p w14:paraId="6BCB9EB0" w14:textId="326D09A2" w:rsidR="00683F51" w:rsidRPr="00CA78B5" w:rsidRDefault="00683F51" w:rsidP="00683F51">
      <w:pPr>
        <w:autoSpaceDE w:val="0"/>
        <w:autoSpaceDN w:val="0"/>
        <w:adjustRightInd w:val="0"/>
        <w:rPr>
          <w:rFonts w:cs="Tahoma"/>
        </w:rPr>
      </w:pPr>
      <w:r w:rsidRPr="00CA78B5">
        <w:rPr>
          <w:rFonts w:cs="Tahoma"/>
        </w:rPr>
        <w:t>Nel corso del 201</w:t>
      </w:r>
      <w:r>
        <w:rPr>
          <w:rFonts w:cs="Tahoma"/>
        </w:rPr>
        <w:t>8</w:t>
      </w:r>
      <w:r w:rsidRPr="00CA78B5">
        <w:rPr>
          <w:rFonts w:cs="Tahoma"/>
        </w:rPr>
        <w:t xml:space="preserve">, dietro specifica richiesta del cliente, Vimercati ha demandato a VEE le attività di assemblaggio e di distribuzione di taluni specifici prodotti destinati ad essere ceduti al </w:t>
      </w:r>
      <w:r w:rsidRPr="00055BB9">
        <w:rPr>
          <w:rFonts w:cs="Tahoma"/>
          <w:highlight w:val="yellow"/>
        </w:rPr>
        <w:t>cliente “BMW”</w:t>
      </w:r>
      <w:r w:rsidRPr="00CA78B5">
        <w:rPr>
          <w:rFonts w:cs="Tahoma"/>
        </w:rPr>
        <w:t>.</w:t>
      </w:r>
    </w:p>
    <w:p w14:paraId="7D93A791" w14:textId="46E77D05" w:rsidR="00683F51" w:rsidRPr="00CA78B5" w:rsidRDefault="00683F51" w:rsidP="00683F51">
      <w:pPr>
        <w:autoSpaceDE w:val="0"/>
        <w:autoSpaceDN w:val="0"/>
        <w:adjustRightInd w:val="0"/>
        <w:rPr>
          <w:rFonts w:cs="Tahoma"/>
        </w:rPr>
      </w:pPr>
      <w:r w:rsidRPr="00CA78B5">
        <w:rPr>
          <w:rFonts w:cs="Tahoma"/>
        </w:rPr>
        <w:t>Più specificatamente, per incontrare le esigenze di natura operativa, logistica ed amministrativa del cliente “BMW”, Vimercati e la controllata romena hanno perfezionato una serie di accordi contrattuali ai sensi e per gli effetti dei quali, nel periodo d’imposta 201</w:t>
      </w:r>
      <w:r>
        <w:rPr>
          <w:rFonts w:cs="Tahoma"/>
        </w:rPr>
        <w:t>8</w:t>
      </w:r>
      <w:r w:rsidRPr="00CA78B5">
        <w:rPr>
          <w:rFonts w:cs="Tahoma"/>
        </w:rPr>
        <w:t xml:space="preserve">, sono intercorsi una pluralità di flussi infragruppo strumentali all’assemblaggio di componenti per la realizzazione </w:t>
      </w:r>
      <w:r w:rsidRPr="00055BB9">
        <w:rPr>
          <w:rFonts w:cs="Tahoma"/>
          <w:highlight w:val="yellow"/>
        </w:rPr>
        <w:t>dei prodotti RUKO (attivatori airbag), PL7 (modulo luci),  HKL (interruttore apri bagagliaio), DLS (interruttore chiusura porte), SHZ (tasto riscaldamento sedili), BEL 35up (mostrina luci) e SFZ (modulo interruttori SZF o funzione ausiliaria sedile) ed alla successiva vendita “diretta” degli stessi al cliente “BMW” da parte</w:t>
      </w:r>
      <w:r w:rsidRPr="00CA78B5">
        <w:rPr>
          <w:rFonts w:cs="Tahoma"/>
        </w:rPr>
        <w:t xml:space="preserve"> di VEE.</w:t>
      </w:r>
    </w:p>
    <w:p w14:paraId="24905998" w14:textId="77777777" w:rsidR="00683F51" w:rsidRPr="00CA78B5" w:rsidRDefault="00683F51" w:rsidP="00683F51">
      <w:pPr>
        <w:autoSpaceDE w:val="0"/>
        <w:autoSpaceDN w:val="0"/>
        <w:adjustRightInd w:val="0"/>
        <w:rPr>
          <w:rFonts w:cs="Tahoma"/>
        </w:rPr>
      </w:pPr>
      <w:r w:rsidRPr="00CA78B5">
        <w:rPr>
          <w:rFonts w:cs="Tahoma"/>
        </w:rPr>
        <w:t xml:space="preserve">Tenuto conto della specificità dei prodotti in questione e del cliente cui sono destinati, VEE necessita del supporto tecnologico/produttivo nonché commerciale della controllante italiana. In particolare, al fine di consentire alla controllata romena di espletare le funzioni e le attività alla stessa demandate, con specifico riferimento alla linea di prodotti </w:t>
      </w:r>
      <w:r w:rsidRPr="000E432C">
        <w:rPr>
          <w:rFonts w:cs="Tahoma"/>
        </w:rPr>
        <w:t>RUKO, PL, HKL, DLS, SHZ, BEL 35up e SZF</w:t>
      </w:r>
      <w:r w:rsidRPr="00CA78B5">
        <w:rPr>
          <w:rFonts w:cs="Tahoma"/>
        </w:rPr>
        <w:t xml:space="preserve">, la controllante italiana mette a disposizione di VEE il </w:t>
      </w:r>
      <w:r w:rsidRPr="00CA78B5">
        <w:rPr>
          <w:rFonts w:cs="Tahoma"/>
          <w:i/>
        </w:rPr>
        <w:t>know-how</w:t>
      </w:r>
      <w:r w:rsidRPr="00CA78B5">
        <w:rPr>
          <w:rFonts w:cs="Tahoma"/>
        </w:rPr>
        <w:t xml:space="preserve"> tecnologico, i macchinari e l’esperienza commerciale, maturato negli anni nella gestione del cliente BMW. Tali prestazioni di servizi, nel seguito delucidate, sono contrattualmente definite fra le parti e riflettono, nella sostanza, le funzioni svolte, le attività impiegate e rischi assunti dalla controllante in favore della controllata estera.</w:t>
      </w:r>
    </w:p>
    <w:p w14:paraId="09BD3F25" w14:textId="50C9CFB2" w:rsidR="00203A55" w:rsidRPr="00CA78B5" w:rsidRDefault="00683F51" w:rsidP="00683F51">
      <w:pPr>
        <w:autoSpaceDE w:val="0"/>
        <w:autoSpaceDN w:val="0"/>
        <w:adjustRightInd w:val="0"/>
        <w:rPr>
          <w:rFonts w:cs="Tahoma"/>
        </w:rPr>
      </w:pPr>
      <w:r w:rsidRPr="00CA78B5">
        <w:rPr>
          <w:rFonts w:cs="Tahoma"/>
        </w:rPr>
        <w:t>Nel corso dell’esercizio, Vimercati ha quindi prestato in favore della controllata romena (VEE) servizi funzionali alla realizzazione dei prodotti destinati ad essere ceduti dalla stessa d</w:t>
      </w:r>
      <w:r>
        <w:rPr>
          <w:rFonts w:cs="Tahoma"/>
        </w:rPr>
        <w:t>irettamente al cliente “BMW”</w:t>
      </w:r>
      <w:r w:rsidR="00203A55">
        <w:rPr>
          <w:rFonts w:cs="Tahoma"/>
        </w:rPr>
        <w:t>.</w:t>
      </w:r>
    </w:p>
    <w:p w14:paraId="3C2C1FBF" w14:textId="77777777" w:rsidR="00203A55" w:rsidRPr="00CA78B5" w:rsidRDefault="00203A55" w:rsidP="00203A55">
      <w:pPr>
        <w:autoSpaceDE w:val="0"/>
        <w:autoSpaceDN w:val="0"/>
        <w:adjustRightInd w:val="0"/>
        <w:rPr>
          <w:rFonts w:cs="Tahoma"/>
        </w:rPr>
      </w:pPr>
      <w:r w:rsidRPr="00CA78B5">
        <w:rPr>
          <w:rFonts w:cs="Tahoma"/>
        </w:rPr>
        <w:t xml:space="preserve">Tali servizi funzionali sono definiti e regolati da uno specifico contratto di servizi stipulato dalle parti ed avente ad oggetto (i) attività di marketing e commerciali, (ii) di supporto al controllo qualità e (iii) di EDP ed EDI. </w:t>
      </w:r>
    </w:p>
    <w:p w14:paraId="03CAA9CC" w14:textId="5313A573" w:rsidR="00203A55" w:rsidRPr="00CA78B5" w:rsidRDefault="00203A55" w:rsidP="00203A55">
      <w:pPr>
        <w:autoSpaceDE w:val="0"/>
        <w:autoSpaceDN w:val="0"/>
        <w:adjustRightInd w:val="0"/>
        <w:rPr>
          <w:rFonts w:cs="Tahoma"/>
        </w:rPr>
      </w:pPr>
      <w:r w:rsidRPr="00CA78B5">
        <w:rPr>
          <w:rFonts w:cs="Tahoma"/>
        </w:rPr>
        <w:t xml:space="preserve">In relazione all’anno </w:t>
      </w:r>
      <w:r w:rsidR="001E3F32" w:rsidRPr="00CA78B5">
        <w:rPr>
          <w:rFonts w:cs="Tahoma"/>
        </w:rPr>
        <w:t>201</w:t>
      </w:r>
      <w:r w:rsidR="0090429B">
        <w:rPr>
          <w:rFonts w:cs="Tahoma"/>
        </w:rPr>
        <w:t>8</w:t>
      </w:r>
      <w:r w:rsidRPr="00CA78B5">
        <w:rPr>
          <w:rFonts w:cs="Tahoma"/>
        </w:rPr>
        <w:t xml:space="preserve">, il corrispettivo per l’erogazione dei predetti servizi funzionali da parte di Vimercati in favore di VEE, è stato contrattualmente convenuto nella </w:t>
      </w:r>
      <w:r w:rsidRPr="00746EC0">
        <w:rPr>
          <w:rFonts w:cs="Tahoma"/>
        </w:rPr>
        <w:t>percentuale pari all’8% del fatturato r</w:t>
      </w:r>
      <w:r w:rsidR="00A953C1">
        <w:rPr>
          <w:rFonts w:cs="Tahoma"/>
        </w:rPr>
        <w:t>ealizzato da VEE sulla vendita “</w:t>
      </w:r>
      <w:r w:rsidRPr="00746EC0">
        <w:rPr>
          <w:rFonts w:cs="Tahoma"/>
        </w:rPr>
        <w:t xml:space="preserve">diretta” </w:t>
      </w:r>
      <w:r w:rsidR="00B347C2" w:rsidRPr="00746EC0">
        <w:rPr>
          <w:rFonts w:cs="Tahoma"/>
        </w:rPr>
        <w:t xml:space="preserve">a BMW dei prodotti </w:t>
      </w:r>
      <w:r w:rsidR="00B347C2" w:rsidRPr="000E432C">
        <w:rPr>
          <w:rFonts w:cs="Tahoma"/>
        </w:rPr>
        <w:t>RUKO, PL, HKL, DLS, SHZ, BEL 35up e SZF</w:t>
      </w:r>
      <w:r w:rsidRPr="00706764">
        <w:rPr>
          <w:rFonts w:cs="Tahoma"/>
        </w:rPr>
        <w:t>.</w:t>
      </w:r>
    </w:p>
    <w:p w14:paraId="10E0AE8F" w14:textId="09D9462F" w:rsidR="00203A55" w:rsidRPr="00CA78B5" w:rsidRDefault="00203A55" w:rsidP="00203A55">
      <w:pPr>
        <w:autoSpaceDE w:val="0"/>
        <w:autoSpaceDN w:val="0"/>
        <w:adjustRightInd w:val="0"/>
        <w:rPr>
          <w:rFonts w:cs="Tahoma"/>
        </w:rPr>
      </w:pPr>
      <w:r w:rsidRPr="00CA78B5">
        <w:rPr>
          <w:rFonts w:cs="Tahoma"/>
        </w:rPr>
        <w:lastRenderedPageBreak/>
        <w:t xml:space="preserve">La realizzazione di tali componenti ha altresì richiesto il trasferimento in locazione di taluni specifici macchinari e stampi da impiegare nelle fasi di assemblaggio, nonché il trasferimento in licenza del </w:t>
      </w:r>
      <w:r w:rsidRPr="00CA78B5">
        <w:rPr>
          <w:rFonts w:cs="Tahoma"/>
          <w:i/>
        </w:rPr>
        <w:t xml:space="preserve">know-how </w:t>
      </w:r>
      <w:r w:rsidRPr="00CA78B5">
        <w:rPr>
          <w:rFonts w:cs="Tahoma"/>
        </w:rPr>
        <w:t>tecnologico produttivo, per i quali VEE ha corrisposto a Vimercati</w:t>
      </w:r>
      <w:r>
        <w:rPr>
          <w:rFonts w:cs="Tahoma"/>
        </w:rPr>
        <w:t xml:space="preserve"> un corrispettivo</w:t>
      </w:r>
      <w:r w:rsidRPr="00CA78B5">
        <w:rPr>
          <w:rFonts w:cs="Tahoma"/>
        </w:rPr>
        <w:t xml:space="preserve">. Tali corrispettivi contrattualmente definiti, sono stati determinati sulla base dei costi sostenuti per l’ingegnerizzazione dei tre prodotti e per l’acquisto dei macchinari successivamente locati a VEE, oltre che per tutte le altre spese di commercializzazione degli stessi. Il totale di tali costi è stato poi suddiviso sul ciclo di vita atteso dei prodotti e sui volumi di produzione stimati ottenendo dei congrui canoni di trasferimento di </w:t>
      </w:r>
      <w:proofErr w:type="spellStart"/>
      <w:r w:rsidRPr="00CA78B5">
        <w:rPr>
          <w:rFonts w:cs="Tahoma"/>
          <w:i/>
        </w:rPr>
        <w:t>know</w:t>
      </w:r>
      <w:proofErr w:type="spellEnd"/>
      <w:r w:rsidRPr="00CA78B5">
        <w:rPr>
          <w:rFonts w:cs="Tahoma"/>
          <w:i/>
        </w:rPr>
        <w:t xml:space="preserve"> </w:t>
      </w:r>
      <w:proofErr w:type="spellStart"/>
      <w:r w:rsidRPr="00CA78B5">
        <w:rPr>
          <w:rFonts w:cs="Tahoma"/>
          <w:i/>
        </w:rPr>
        <w:t>how</w:t>
      </w:r>
      <w:proofErr w:type="spellEnd"/>
      <w:r w:rsidRPr="00CA78B5">
        <w:rPr>
          <w:rFonts w:cs="Tahoma"/>
        </w:rPr>
        <w:t xml:space="preserve"> e di locazione dei macchinari impiegati in tali produzioni che permettessero il rispetto dell’</w:t>
      </w:r>
      <w:r w:rsidRPr="00CA78B5">
        <w:rPr>
          <w:rFonts w:cs="Tahoma"/>
          <w:i/>
        </w:rPr>
        <w:t xml:space="preserve">arm’s length </w:t>
      </w:r>
      <w:proofErr w:type="spellStart"/>
      <w:r w:rsidRPr="00CA78B5">
        <w:rPr>
          <w:rFonts w:cs="Tahoma"/>
          <w:i/>
        </w:rPr>
        <w:t>principle</w:t>
      </w:r>
      <w:proofErr w:type="spellEnd"/>
      <w:r w:rsidRPr="00CA78B5">
        <w:rPr>
          <w:rFonts w:cs="Tahoma"/>
        </w:rPr>
        <w:t>.</w:t>
      </w:r>
    </w:p>
    <w:p w14:paraId="16956750" w14:textId="77777777" w:rsidR="00203A55" w:rsidRPr="00CA78B5" w:rsidRDefault="00203A55" w:rsidP="00203A55">
      <w:pPr>
        <w:autoSpaceDE w:val="0"/>
        <w:autoSpaceDN w:val="0"/>
        <w:adjustRightInd w:val="0"/>
        <w:rPr>
          <w:rFonts w:cs="Tahoma"/>
        </w:rPr>
      </w:pPr>
      <w:r w:rsidRPr="00CA78B5">
        <w:rPr>
          <w:rFonts w:cs="Tahoma"/>
        </w:rPr>
        <w:t>Essendo i suddetti flussi strettamente correlati ed interdipendenti tra loro, ai fini dell’analisi dei prezzi di trasferimento, gli stessi, in conformità</w:t>
      </w:r>
      <w:r>
        <w:rPr>
          <w:rFonts w:cs="Tahoma"/>
        </w:rPr>
        <w:t xml:space="preserve"> </w:t>
      </w:r>
      <w:r w:rsidRPr="00CA78B5">
        <w:rPr>
          <w:rFonts w:cs="Tahoma"/>
        </w:rPr>
        <w:t>al paragrafo 3.9 delle Linee Guida OCSE</w:t>
      </w:r>
      <w:r w:rsidRPr="00CA78B5">
        <w:rPr>
          <w:rStyle w:val="Rimandonotaapidipagina"/>
          <w:rFonts w:cs="Tahoma"/>
        </w:rPr>
        <w:footnoteReference w:id="2"/>
      </w:r>
      <w:r w:rsidRPr="00CA78B5">
        <w:rPr>
          <w:rFonts w:cs="Tahoma"/>
        </w:rPr>
        <w:t xml:space="preserve"> devono essere considerati quale un’unica e complessa transazione e, di conseguenza, la verifica della conformità al principio del valore normale dei relativi prezzi di trasferimento dovrà essere altresì effettuata in maniera aggregata.</w:t>
      </w:r>
    </w:p>
    <w:p w14:paraId="31BDBF9B" w14:textId="77777777" w:rsidR="00B347C2" w:rsidRPr="00CA78B5" w:rsidRDefault="00B347C2" w:rsidP="00B347C2">
      <w:pPr>
        <w:autoSpaceDE w:val="0"/>
        <w:autoSpaceDN w:val="0"/>
        <w:adjustRightInd w:val="0"/>
        <w:rPr>
          <w:rFonts w:cs="Tahoma"/>
        </w:rPr>
      </w:pPr>
      <w:r w:rsidRPr="00CA78B5">
        <w:rPr>
          <w:rFonts w:cs="Tahoma"/>
        </w:rPr>
        <w:t xml:space="preserve">La transazione inerente l’assemblaggio dei prodotti </w:t>
      </w:r>
      <w:r w:rsidRPr="000E432C">
        <w:rPr>
          <w:rFonts w:cs="Tahoma"/>
        </w:rPr>
        <w:t>RUKO, PL, HKL, DLS, SHZ, BEL 35up e SZF</w:t>
      </w:r>
      <w:r w:rsidRPr="00CA78B5">
        <w:rPr>
          <w:rFonts w:cs="Tahoma"/>
        </w:rPr>
        <w:t xml:space="preserve"> risulta quindi essere composta dai seguenti flussi infragruppo:</w:t>
      </w:r>
    </w:p>
    <w:p w14:paraId="576C5966" w14:textId="77777777" w:rsidR="00B347C2" w:rsidRPr="00203A55" w:rsidRDefault="00B347C2" w:rsidP="00B347C2">
      <w:pPr>
        <w:pStyle w:val="Paragrafoelenco"/>
        <w:numPr>
          <w:ilvl w:val="0"/>
          <w:numId w:val="10"/>
        </w:numPr>
        <w:autoSpaceDE w:val="0"/>
        <w:autoSpaceDN w:val="0"/>
        <w:adjustRightInd w:val="0"/>
        <w:spacing w:before="60" w:after="60"/>
        <w:contextualSpacing w:val="0"/>
        <w:rPr>
          <w:rFonts w:cs="Times New Roman"/>
        </w:rPr>
      </w:pPr>
      <w:proofErr w:type="gramStart"/>
      <w:r w:rsidRPr="00203A55">
        <w:rPr>
          <w:rFonts w:cs="Times New Roman"/>
        </w:rPr>
        <w:t>cessione</w:t>
      </w:r>
      <w:proofErr w:type="gramEnd"/>
      <w:r w:rsidRPr="00203A55">
        <w:rPr>
          <w:rFonts w:cs="Times New Roman"/>
        </w:rPr>
        <w:t xml:space="preserve"> delle componenti per l’assemblaggio (senza </w:t>
      </w:r>
      <w:r w:rsidRPr="00203A55">
        <w:rPr>
          <w:rFonts w:cs="Times New Roman"/>
          <w:i/>
        </w:rPr>
        <w:t>mark up</w:t>
      </w:r>
      <w:r w:rsidRPr="00203A55">
        <w:rPr>
          <w:rFonts w:cs="Times New Roman"/>
        </w:rPr>
        <w:t xml:space="preserve"> sui costi di produzione/acquisto);</w:t>
      </w:r>
    </w:p>
    <w:p w14:paraId="72AE91D1" w14:textId="77777777" w:rsidR="00B347C2" w:rsidRPr="00203A55" w:rsidRDefault="00B347C2" w:rsidP="00B347C2">
      <w:pPr>
        <w:pStyle w:val="Paragrafoelenco"/>
        <w:numPr>
          <w:ilvl w:val="0"/>
          <w:numId w:val="10"/>
        </w:numPr>
        <w:autoSpaceDE w:val="0"/>
        <w:autoSpaceDN w:val="0"/>
        <w:adjustRightInd w:val="0"/>
        <w:spacing w:before="60" w:after="60"/>
        <w:contextualSpacing w:val="0"/>
        <w:rPr>
          <w:rFonts w:cs="Times New Roman"/>
        </w:rPr>
      </w:pPr>
      <w:proofErr w:type="gramStart"/>
      <w:r w:rsidRPr="00203A55">
        <w:rPr>
          <w:rFonts w:cs="Times New Roman"/>
        </w:rPr>
        <w:t>l’erogazione</w:t>
      </w:r>
      <w:proofErr w:type="gramEnd"/>
      <w:r w:rsidRPr="00203A55">
        <w:rPr>
          <w:rFonts w:cs="Times New Roman"/>
        </w:rPr>
        <w:t xml:space="preserve"> di servizi funzionali alle vendite dei prodotti destinati ad essere ceduti direttamente al cliente “BMW”;</w:t>
      </w:r>
    </w:p>
    <w:p w14:paraId="2E1CF11E" w14:textId="77777777" w:rsidR="00B347C2" w:rsidRPr="00203A55" w:rsidRDefault="00B347C2" w:rsidP="00B347C2">
      <w:pPr>
        <w:pStyle w:val="Paragrafoelenco"/>
        <w:numPr>
          <w:ilvl w:val="0"/>
          <w:numId w:val="10"/>
        </w:numPr>
        <w:autoSpaceDE w:val="0"/>
        <w:autoSpaceDN w:val="0"/>
        <w:adjustRightInd w:val="0"/>
        <w:spacing w:before="60" w:after="60"/>
        <w:contextualSpacing w:val="0"/>
        <w:rPr>
          <w:rFonts w:cs="Times New Roman"/>
        </w:rPr>
      </w:pPr>
      <w:proofErr w:type="gramStart"/>
      <w:r w:rsidRPr="00203A55">
        <w:rPr>
          <w:rFonts w:cs="Times New Roman"/>
        </w:rPr>
        <w:t>locazione</w:t>
      </w:r>
      <w:proofErr w:type="gramEnd"/>
      <w:r w:rsidRPr="00203A55">
        <w:rPr>
          <w:rFonts w:cs="Times New Roman"/>
        </w:rPr>
        <w:t xml:space="preserve"> di macchinari e stampi;</w:t>
      </w:r>
    </w:p>
    <w:p w14:paraId="275ADED9" w14:textId="77777777" w:rsidR="00B347C2" w:rsidRPr="00203A55" w:rsidRDefault="00B347C2" w:rsidP="00B347C2">
      <w:pPr>
        <w:pStyle w:val="Paragrafoelenco"/>
        <w:numPr>
          <w:ilvl w:val="0"/>
          <w:numId w:val="10"/>
        </w:numPr>
        <w:autoSpaceDE w:val="0"/>
        <w:autoSpaceDN w:val="0"/>
        <w:adjustRightInd w:val="0"/>
        <w:spacing w:before="60" w:after="60"/>
        <w:contextualSpacing w:val="0"/>
        <w:rPr>
          <w:rFonts w:cs="Times New Roman"/>
        </w:rPr>
      </w:pPr>
      <w:proofErr w:type="gramStart"/>
      <w:r w:rsidRPr="00203A55">
        <w:rPr>
          <w:rFonts w:cs="Times New Roman"/>
        </w:rPr>
        <w:t>licenza</w:t>
      </w:r>
      <w:proofErr w:type="gramEnd"/>
      <w:r w:rsidRPr="00203A55">
        <w:rPr>
          <w:rFonts w:cs="Times New Roman"/>
        </w:rPr>
        <w:t xml:space="preserve"> di produzione e </w:t>
      </w:r>
      <w:r w:rsidRPr="00203A55">
        <w:rPr>
          <w:rFonts w:cs="Times New Roman"/>
          <w:i/>
        </w:rPr>
        <w:t>know-how</w:t>
      </w:r>
      <w:r w:rsidRPr="00203A55">
        <w:rPr>
          <w:rFonts w:cs="Times New Roman"/>
        </w:rPr>
        <w:t>.</w:t>
      </w:r>
    </w:p>
    <w:p w14:paraId="6423E13A" w14:textId="77777777" w:rsidR="00B347C2" w:rsidRPr="00CA78B5" w:rsidRDefault="00B347C2" w:rsidP="00B347C2">
      <w:pPr>
        <w:autoSpaceDE w:val="0"/>
        <w:autoSpaceDN w:val="0"/>
        <w:adjustRightInd w:val="0"/>
        <w:rPr>
          <w:rFonts w:cs="Tahoma"/>
        </w:rPr>
      </w:pPr>
      <w:r w:rsidRPr="00CA78B5">
        <w:rPr>
          <w:rFonts w:cs="Tahoma"/>
        </w:rPr>
        <w:t>La valorizzazione dei flussi in commento è definita in modo tale da consentire alla controllante italiana (Vimercati) di ricatturare il margine di propria competenza che si origina in relazione alle vendite “dirette” dei prodotti finiti effettuate da VEE al cliente BMW.</w:t>
      </w:r>
    </w:p>
    <w:p w14:paraId="4F846954" w14:textId="77777777" w:rsidR="00B347C2" w:rsidRDefault="00B347C2" w:rsidP="00B347C2">
      <w:pPr>
        <w:autoSpaceDE w:val="0"/>
        <w:autoSpaceDN w:val="0"/>
        <w:adjustRightInd w:val="0"/>
        <w:rPr>
          <w:rFonts w:cs="Tahoma"/>
        </w:rPr>
      </w:pPr>
      <w:r w:rsidRPr="00CA78B5">
        <w:rPr>
          <w:rFonts w:cs="Tahoma"/>
        </w:rPr>
        <w:t xml:space="preserve">A tal proposito, si consideri infatti che, sebbene i prodotti </w:t>
      </w:r>
      <w:r w:rsidRPr="000E432C">
        <w:rPr>
          <w:rFonts w:cs="Tahoma"/>
        </w:rPr>
        <w:t>RUKO, PL, HKL, DLS, SHZ, BEL 35up e SZF</w:t>
      </w:r>
      <w:r w:rsidRPr="00CA78B5">
        <w:rPr>
          <w:rFonts w:cs="Tahoma"/>
        </w:rPr>
        <w:t xml:space="preserve"> siano direttamente ceduti da VEE al cliente BMW, l’attività “strategico-commerciale” ed “amministrativa” nei confronti di tale cliente e, quindi, la gestione per così dire di tale commessa, resta comunque nel complesso gestita e coordinata da Vimercati. In altri termini, senza il supporto tecnologico e commerciale di Vimercati, VEE non avrebbe potuto realizzare tali prodotti e cederli direttamente a tale primario produttore del settore.</w:t>
      </w:r>
    </w:p>
    <w:p w14:paraId="188D9A67" w14:textId="25C98DA4" w:rsidR="00A953C1" w:rsidRPr="00A953C1" w:rsidRDefault="00B347C2" w:rsidP="00B347C2">
      <w:pPr>
        <w:autoSpaceDE w:val="0"/>
        <w:autoSpaceDN w:val="0"/>
        <w:adjustRightInd w:val="0"/>
        <w:rPr>
          <w:rFonts w:cs="Tahoma"/>
        </w:rPr>
      </w:pPr>
      <w:r w:rsidRPr="00A953C1">
        <w:rPr>
          <w:rFonts w:cs="Tahoma"/>
        </w:rPr>
        <w:t xml:space="preserve">Ne consegue che la parte di margine che residua in capo a VEE è atta a remunerare le attività di produzione delle componenti per la realizzazione dei prodotti </w:t>
      </w:r>
      <w:r w:rsidRPr="00A8351F">
        <w:rPr>
          <w:rFonts w:cs="Tahoma"/>
        </w:rPr>
        <w:t>RUKO, PL7</w:t>
      </w:r>
      <w:r>
        <w:rPr>
          <w:rFonts w:cs="Tahoma"/>
        </w:rPr>
        <w:t xml:space="preserve">, </w:t>
      </w:r>
      <w:r w:rsidRPr="00A8351F">
        <w:rPr>
          <w:rFonts w:cs="Tahoma"/>
        </w:rPr>
        <w:t>HKL</w:t>
      </w:r>
      <w:r>
        <w:rPr>
          <w:rFonts w:cs="Tahoma"/>
        </w:rPr>
        <w:t>, DLS, SHZ, BEL 35up e SZF</w:t>
      </w:r>
      <w:r w:rsidRPr="00A953C1">
        <w:rPr>
          <w:rFonts w:cs="Tahoma"/>
        </w:rPr>
        <w:t>, nonché alcune attività distributive essendo le vendite effettuate direttamente da VEE al cliente finale</w:t>
      </w:r>
      <w:r w:rsidR="00A953C1" w:rsidRPr="00A953C1">
        <w:rPr>
          <w:rFonts w:cs="Tahoma"/>
        </w:rPr>
        <w:t>.</w:t>
      </w:r>
    </w:p>
    <w:p w14:paraId="2F7CC285" w14:textId="33BF160D" w:rsidR="00203A55" w:rsidRDefault="00CE26F7" w:rsidP="00CE26F7">
      <w:pPr>
        <w:pStyle w:val="Titolo2"/>
        <w:numPr>
          <w:ilvl w:val="1"/>
          <w:numId w:val="5"/>
        </w:numPr>
      </w:pPr>
      <w:bookmarkStart w:id="44" w:name="_Toc25674095"/>
      <w:r>
        <w:lastRenderedPageBreak/>
        <w:t>Transazione T</w:t>
      </w:r>
      <w:r w:rsidR="0090429B">
        <w:t>3</w:t>
      </w:r>
      <w:r>
        <w:t xml:space="preserve"> – Acquisto di componenti</w:t>
      </w:r>
      <w:bookmarkEnd w:id="44"/>
    </w:p>
    <w:p w14:paraId="4DA8CCAE" w14:textId="5973E18B" w:rsidR="00CE26F7" w:rsidRPr="00D1684C" w:rsidRDefault="00CE26F7" w:rsidP="00CE26F7">
      <w:pPr>
        <w:autoSpaceDE w:val="0"/>
        <w:autoSpaceDN w:val="0"/>
        <w:adjustRightInd w:val="0"/>
        <w:spacing w:before="240"/>
        <w:rPr>
          <w:rFonts w:cs="Tahoma"/>
        </w:rPr>
      </w:pPr>
      <w:r w:rsidRPr="00D1684C">
        <w:rPr>
          <w:rFonts w:cs="Tahoma"/>
        </w:rPr>
        <w:t>Vimercati è una società che, all’interno del Gruppo cui appartiene si qualifica come “</w:t>
      </w:r>
      <w:r w:rsidRPr="00CF6EC8">
        <w:rPr>
          <w:rFonts w:cs="Tahoma"/>
          <w:i/>
        </w:rPr>
        <w:t>production company</w:t>
      </w:r>
      <w:r w:rsidRPr="00D1684C">
        <w:rPr>
          <w:rFonts w:cs="Tahoma"/>
        </w:rPr>
        <w:t xml:space="preserve">”, </w:t>
      </w:r>
      <w:r>
        <w:rPr>
          <w:rFonts w:cs="Tahoma"/>
        </w:rPr>
        <w:t>ossia</w:t>
      </w:r>
      <w:r w:rsidRPr="00D1684C">
        <w:rPr>
          <w:rFonts w:cs="Tahoma"/>
        </w:rPr>
        <w:t xml:space="preserve"> come un soggetto la cui attività consiste nella realizzazione e nella vendita di prodotti finiti.</w:t>
      </w:r>
      <w:r>
        <w:rPr>
          <w:rFonts w:cs="Tahoma"/>
        </w:rPr>
        <w:t xml:space="preserve"> </w:t>
      </w:r>
      <w:r w:rsidRPr="00D1684C">
        <w:rPr>
          <w:rFonts w:cs="Tahoma"/>
        </w:rPr>
        <w:t>Nell’ambito dell’approvvigionamento delle componenti necessarie alla produzione, la Società si avvale del</w:t>
      </w:r>
      <w:r>
        <w:rPr>
          <w:rFonts w:cs="Tahoma"/>
        </w:rPr>
        <w:t>la fornitura di alcune componenti da</w:t>
      </w:r>
      <w:r w:rsidRPr="00D1684C">
        <w:rPr>
          <w:rFonts w:cs="Tahoma"/>
        </w:rPr>
        <w:t xml:space="preserve">lla controllante indiana </w:t>
      </w:r>
      <w:proofErr w:type="spellStart"/>
      <w:r w:rsidRPr="00D1684C">
        <w:rPr>
          <w:rFonts w:cs="Tahoma"/>
        </w:rPr>
        <w:t>Viney</w:t>
      </w:r>
      <w:proofErr w:type="spellEnd"/>
      <w:r w:rsidRPr="00D1684C">
        <w:rPr>
          <w:rFonts w:cs="Tahoma"/>
        </w:rPr>
        <w:t>.</w:t>
      </w:r>
    </w:p>
    <w:p w14:paraId="6897503F" w14:textId="57470EF3" w:rsidR="00CE26F7" w:rsidRDefault="00CE26F7" w:rsidP="00CE26F7">
      <w:pPr>
        <w:autoSpaceDE w:val="0"/>
        <w:autoSpaceDN w:val="0"/>
        <w:adjustRightInd w:val="0"/>
        <w:rPr>
          <w:rFonts w:cs="Tahoma"/>
        </w:rPr>
      </w:pPr>
      <w:proofErr w:type="spellStart"/>
      <w:r w:rsidRPr="00D1684C">
        <w:rPr>
          <w:rFonts w:cs="Tahoma"/>
        </w:rPr>
        <w:t>Viney</w:t>
      </w:r>
      <w:proofErr w:type="spellEnd"/>
      <w:r w:rsidRPr="00D1684C">
        <w:rPr>
          <w:rFonts w:cs="Tahoma"/>
        </w:rPr>
        <w:t xml:space="preserve"> è un produttore verticalmente integrato di componentistica plastica, di cablaggi e connettori, tutti materiali, che Vimercati non realizza al proprio interno, ma che ha storicamente acquistato all’esterno da f</w:t>
      </w:r>
      <w:r w:rsidR="00EF394D">
        <w:rPr>
          <w:rFonts w:cs="Tahoma"/>
        </w:rPr>
        <w:t xml:space="preserve">ornitori terzi ed indipendenti. </w:t>
      </w:r>
      <w:r>
        <w:rPr>
          <w:rFonts w:cs="Tahoma"/>
        </w:rPr>
        <w:t xml:space="preserve">I beni </w:t>
      </w:r>
      <w:r w:rsidRPr="00D1684C">
        <w:rPr>
          <w:rFonts w:cs="Tahoma"/>
        </w:rPr>
        <w:t>scambiati sono componenti plastici, meccanici ed elettronici</w:t>
      </w:r>
      <w:r>
        <w:rPr>
          <w:rFonts w:cs="Tahoma"/>
        </w:rPr>
        <w:t>.</w:t>
      </w:r>
    </w:p>
    <w:p w14:paraId="06655A7B" w14:textId="73A2EC76" w:rsidR="00CE26F7" w:rsidRDefault="00CE26F7" w:rsidP="00CE26F7">
      <w:pPr>
        <w:pStyle w:val="Titolo2"/>
        <w:numPr>
          <w:ilvl w:val="1"/>
          <w:numId w:val="5"/>
        </w:numPr>
      </w:pPr>
      <w:bookmarkStart w:id="45" w:name="_Toc25674096"/>
      <w:r>
        <w:t>Transazioni residuali</w:t>
      </w:r>
      <w:bookmarkEnd w:id="45"/>
    </w:p>
    <w:p w14:paraId="520EC0B2" w14:textId="77777777" w:rsidR="00683F51" w:rsidRDefault="00683F51" w:rsidP="00683F51">
      <w:pPr>
        <w:pStyle w:val="Testo"/>
        <w:tabs>
          <w:tab w:val="left" w:pos="0"/>
        </w:tabs>
        <w:rPr>
          <w:iCs/>
          <w:lang w:val="it-IT"/>
        </w:rPr>
      </w:pPr>
      <w:r w:rsidRPr="00683F51">
        <w:rPr>
          <w:rFonts w:cs="Tahoma"/>
          <w:lang w:val="it-IT"/>
        </w:rPr>
        <w:t>Nel presente paragrafo sono descritte le altre operazioni infragruppo poste in essere da Vimercati nel periodo d’imposta 201</w:t>
      </w:r>
      <w:r>
        <w:rPr>
          <w:rFonts w:cs="Tahoma"/>
          <w:lang w:val="it-IT"/>
        </w:rPr>
        <w:t>8</w:t>
      </w:r>
      <w:r w:rsidRPr="00683F51">
        <w:rPr>
          <w:rFonts w:cs="Tahoma"/>
          <w:lang w:val="it-IT"/>
        </w:rPr>
        <w:t xml:space="preserve"> che, tenuto conto del loro ammontare e/o del carattere non ricorrente, sono da ritenersi “residuali”</w:t>
      </w:r>
      <w:r w:rsidRPr="00305869">
        <w:rPr>
          <w:iCs/>
          <w:lang w:val="it-IT"/>
        </w:rPr>
        <w:t>.</w:t>
      </w:r>
    </w:p>
    <w:p w14:paraId="1B033DD0" w14:textId="77777777" w:rsidR="00683F51" w:rsidRDefault="00683F51" w:rsidP="00683F51">
      <w:r>
        <w:t>Trattasi delle seguenti operazioni:</w:t>
      </w:r>
    </w:p>
    <w:p w14:paraId="66672389" w14:textId="77777777" w:rsidR="00683F51" w:rsidRDefault="00683F51" w:rsidP="00683F51">
      <w:pPr>
        <w:pStyle w:val="Paragrafoelenco"/>
        <w:numPr>
          <w:ilvl w:val="0"/>
          <w:numId w:val="26"/>
        </w:numPr>
        <w:contextualSpacing w:val="0"/>
      </w:pPr>
      <w:r>
        <w:t xml:space="preserve">Addebiti da Vimercati S.p.a. a </w:t>
      </w:r>
      <w:proofErr w:type="spellStart"/>
      <w:r>
        <w:t>Viney</w:t>
      </w:r>
      <w:proofErr w:type="spellEnd"/>
      <w:r>
        <w:t xml:space="preserve"> Corporation Ltd (per Euro 687.000) e a </w:t>
      </w:r>
      <w:proofErr w:type="spellStart"/>
      <w:r>
        <w:t>Viney</w:t>
      </w:r>
      <w:proofErr w:type="spellEnd"/>
      <w:r>
        <w:t xml:space="preserve"> Corporation East Europe S.r.l. (per Euro 437.000) relativi ad alcuni materiali utilizzati dalla controllante indiana e dalla consociata rumena nei propri processi produttivi;</w:t>
      </w:r>
    </w:p>
    <w:p w14:paraId="1DCB29D8" w14:textId="77777777" w:rsidR="00683F51" w:rsidRDefault="00683F51" w:rsidP="00683F51">
      <w:pPr>
        <w:pStyle w:val="Paragrafoelenco"/>
        <w:numPr>
          <w:ilvl w:val="0"/>
          <w:numId w:val="26"/>
        </w:numPr>
        <w:contextualSpacing w:val="0"/>
      </w:pPr>
      <w:r>
        <w:t xml:space="preserve">Acquisto di materiali vari da parte di Vimercati S.p.A. da </w:t>
      </w:r>
      <w:proofErr w:type="spellStart"/>
      <w:r>
        <w:t>Viney</w:t>
      </w:r>
      <w:proofErr w:type="spellEnd"/>
      <w:r>
        <w:t xml:space="preserve"> Corporation East Europe S.r.l. per Euro 734.866.</w:t>
      </w:r>
    </w:p>
    <w:p w14:paraId="16110C9A" w14:textId="77777777" w:rsidR="00683F51" w:rsidRDefault="00683F51" w:rsidP="00683F51">
      <w:pPr>
        <w:pStyle w:val="Paragrafoelenco"/>
        <w:numPr>
          <w:ilvl w:val="0"/>
          <w:numId w:val="26"/>
        </w:numPr>
        <w:contextualSpacing w:val="0"/>
      </w:pPr>
      <w:r>
        <w:t>Vendita di materiali vari da parte di Vimercati S.p.A. a VEE per Euro 40.291.</w:t>
      </w:r>
    </w:p>
    <w:p w14:paraId="271D2E36" w14:textId="77777777" w:rsidR="00683F51" w:rsidRPr="00683F51" w:rsidRDefault="00683F51" w:rsidP="00683F51">
      <w:pPr>
        <w:pStyle w:val="Paragrafoelenco"/>
        <w:numPr>
          <w:ilvl w:val="0"/>
          <w:numId w:val="26"/>
        </w:numPr>
        <w:contextualSpacing w:val="0"/>
      </w:pPr>
      <w:r>
        <w:t xml:space="preserve">Altri costi </w:t>
      </w:r>
      <w:proofErr w:type="spellStart"/>
      <w:r>
        <w:t>riaddebitati</w:t>
      </w:r>
      <w:proofErr w:type="spellEnd"/>
      <w:r>
        <w:t xml:space="preserve"> da VEE alla controllante Vimercati S.p.A. per Euro 38.010.</w:t>
      </w:r>
    </w:p>
    <w:p w14:paraId="6EB5D0A4" w14:textId="77777777" w:rsidR="0046755B" w:rsidRPr="0046755B" w:rsidRDefault="0046755B" w:rsidP="0046755B">
      <w:pPr>
        <w:pStyle w:val="Paragrafoelenco"/>
        <w:numPr>
          <w:ilvl w:val="0"/>
          <w:numId w:val="26"/>
        </w:numPr>
        <w:spacing w:before="0" w:after="160" w:line="259" w:lineRule="auto"/>
        <w:jc w:val="left"/>
        <w:rPr>
          <w:rFonts w:eastAsiaTheme="majorEastAsia" w:cstheme="majorBidi"/>
          <w:b/>
          <w:sz w:val="32"/>
          <w:szCs w:val="32"/>
        </w:rPr>
      </w:pPr>
      <w:r>
        <w:br w:type="page"/>
      </w:r>
    </w:p>
    <w:p w14:paraId="17D077BB" w14:textId="07A9704E" w:rsidR="00CE26F7" w:rsidRDefault="00CE26F7" w:rsidP="007C1E4E">
      <w:pPr>
        <w:pStyle w:val="Titolo1"/>
        <w:numPr>
          <w:ilvl w:val="0"/>
          <w:numId w:val="5"/>
        </w:numPr>
        <w:spacing w:line="320" w:lineRule="exact"/>
        <w:ind w:left="714" w:hanging="357"/>
      </w:pPr>
      <w:bookmarkStart w:id="46" w:name="_Toc25674097"/>
      <w:r>
        <w:lastRenderedPageBreak/>
        <w:t>Funzioni svolte, beni strumentali impiegati e rischi assunti</w:t>
      </w:r>
      <w:bookmarkEnd w:id="46"/>
    </w:p>
    <w:p w14:paraId="1F6FFB2D" w14:textId="78A9F714" w:rsidR="00A32E14" w:rsidRDefault="00A32E14" w:rsidP="00A32E14">
      <w:pPr>
        <w:pStyle w:val="Titolo2"/>
        <w:numPr>
          <w:ilvl w:val="1"/>
          <w:numId w:val="5"/>
        </w:numPr>
      </w:pPr>
      <w:bookmarkStart w:id="47" w:name="_Toc25674098"/>
      <w:r>
        <w:t>Funzioni svolte</w:t>
      </w:r>
      <w:bookmarkEnd w:id="47"/>
    </w:p>
    <w:p w14:paraId="6EAEF942" w14:textId="73BA45B3" w:rsidR="00A32E14" w:rsidRPr="00A32E14" w:rsidRDefault="00A32E14" w:rsidP="00A32E14">
      <w:pPr>
        <w:pStyle w:val="Titolo3"/>
        <w:numPr>
          <w:ilvl w:val="2"/>
          <w:numId w:val="5"/>
        </w:numPr>
      </w:pPr>
      <w:bookmarkStart w:id="48" w:name="_Toc25674099"/>
      <w:r>
        <w:t>Vimercati S.p.A.</w:t>
      </w:r>
      <w:bookmarkEnd w:id="48"/>
    </w:p>
    <w:p w14:paraId="0520544E" w14:textId="77777777" w:rsidR="00A32E14" w:rsidRPr="00A32E14" w:rsidRDefault="00A32E14" w:rsidP="00A32E14">
      <w:pPr>
        <w:rPr>
          <w:rFonts w:cs="Times New Roman"/>
          <w:lang w:eastAsia="it-IT"/>
        </w:rPr>
      </w:pPr>
      <w:r w:rsidRPr="00A32E14">
        <w:rPr>
          <w:rFonts w:cs="Times New Roman"/>
          <w:u w:val="single"/>
          <w:lang w:eastAsia="it-IT"/>
        </w:rPr>
        <w:t>DIREZIONE GENERALE</w:t>
      </w:r>
    </w:p>
    <w:p w14:paraId="444EF081" w14:textId="77777777" w:rsidR="00A32E14" w:rsidRPr="00A32E14" w:rsidRDefault="00A32E14" w:rsidP="00A32E14">
      <w:pPr>
        <w:pStyle w:val="BWBBody"/>
        <w:spacing w:before="130" w:after="130" w:line="260" w:lineRule="exact"/>
        <w:rPr>
          <w:rFonts w:ascii="Times New Roman" w:eastAsia="Times New Roman" w:hAnsi="Times New Roman"/>
          <w:sz w:val="22"/>
          <w:szCs w:val="22"/>
          <w:lang w:val="it-IT"/>
        </w:rPr>
      </w:pPr>
      <w:r w:rsidRPr="00A32E14">
        <w:rPr>
          <w:rFonts w:ascii="Times New Roman" w:eastAsia="Times New Roman" w:hAnsi="Times New Roman"/>
          <w:sz w:val="22"/>
          <w:szCs w:val="22"/>
          <w:lang w:val="it-IT"/>
        </w:rPr>
        <w:t xml:space="preserve">Il Presidente, nonché Amministratore Delegato, pianifica, dirige e coordina tutte le attività di Vimercati, compiendo qualsiasi atto necessario al conseguimento dell’oggetto sociale; nel complesso, è responsabile della definizione, dell’implementazione delle politiche di sviluppo del </w:t>
      </w:r>
      <w:r w:rsidRPr="00A32E14">
        <w:rPr>
          <w:rFonts w:ascii="Times New Roman" w:eastAsia="Times New Roman" w:hAnsi="Times New Roman"/>
          <w:i/>
          <w:sz w:val="22"/>
          <w:szCs w:val="22"/>
          <w:lang w:val="it-IT"/>
        </w:rPr>
        <w:t>business</w:t>
      </w:r>
      <w:r w:rsidRPr="00A32E14">
        <w:rPr>
          <w:rFonts w:ascii="Times New Roman" w:eastAsia="Times New Roman" w:hAnsi="Times New Roman"/>
          <w:sz w:val="22"/>
          <w:szCs w:val="22"/>
          <w:lang w:val="it-IT"/>
        </w:rPr>
        <w:t>, nonché dell’andamento gestionale di Vimercati del quale è tenuto a riferire al Gruppo.</w:t>
      </w:r>
    </w:p>
    <w:p w14:paraId="236D593C" w14:textId="77777777" w:rsidR="00A32E14" w:rsidRPr="00A32E14" w:rsidRDefault="00A32E14" w:rsidP="00A32E14">
      <w:pPr>
        <w:rPr>
          <w:rFonts w:cs="Times New Roman"/>
          <w:u w:val="single"/>
          <w:lang w:eastAsia="it-IT"/>
        </w:rPr>
      </w:pPr>
      <w:r w:rsidRPr="00A32E14">
        <w:rPr>
          <w:rFonts w:cs="Times New Roman"/>
          <w:u w:val="single"/>
          <w:lang w:eastAsia="it-IT"/>
        </w:rPr>
        <w:t>AMMISTRAZIONE e FINANZA</w:t>
      </w:r>
    </w:p>
    <w:p w14:paraId="35051A81" w14:textId="77777777" w:rsidR="00A32E14" w:rsidRPr="00A32E14" w:rsidRDefault="00A32E14" w:rsidP="00A32E14">
      <w:pPr>
        <w:spacing w:after="60"/>
        <w:rPr>
          <w:rFonts w:cs="Times New Roman"/>
          <w:lang w:eastAsia="it-IT"/>
        </w:rPr>
      </w:pPr>
      <w:r w:rsidRPr="00A32E14">
        <w:rPr>
          <w:rFonts w:cs="Times New Roman"/>
          <w:lang w:eastAsia="it-IT"/>
        </w:rPr>
        <w:t>A questa funzione sono affidate le seguenti aree di responsabilità e di governo:</w:t>
      </w:r>
    </w:p>
    <w:p w14:paraId="1FD69A30" w14:textId="77777777" w:rsidR="00A32E14" w:rsidRPr="00A32E14" w:rsidRDefault="00A32E14" w:rsidP="00A32E14">
      <w:pPr>
        <w:numPr>
          <w:ilvl w:val="0"/>
          <w:numId w:val="13"/>
        </w:numPr>
        <w:spacing w:before="60" w:after="60"/>
        <w:ind w:left="896" w:hanging="357"/>
        <w:rPr>
          <w:rFonts w:cs="Times New Roman"/>
          <w:lang w:eastAsia="it-IT"/>
        </w:rPr>
      </w:pPr>
      <w:proofErr w:type="gramStart"/>
      <w:r w:rsidRPr="00A32E14">
        <w:rPr>
          <w:rFonts w:cs="Times New Roman"/>
          <w:lang w:eastAsia="it-IT"/>
        </w:rPr>
        <w:t>pianificazione</w:t>
      </w:r>
      <w:proofErr w:type="gramEnd"/>
      <w:r w:rsidRPr="00A32E14">
        <w:rPr>
          <w:rFonts w:cs="Times New Roman"/>
          <w:lang w:eastAsia="it-IT"/>
        </w:rPr>
        <w:t xml:space="preserve"> e controllo delle risorse finanziare;</w:t>
      </w:r>
    </w:p>
    <w:p w14:paraId="06E5D651" w14:textId="77777777" w:rsidR="00A32E14" w:rsidRPr="00A32E14" w:rsidRDefault="00A32E14" w:rsidP="00A32E14">
      <w:pPr>
        <w:numPr>
          <w:ilvl w:val="0"/>
          <w:numId w:val="13"/>
        </w:numPr>
        <w:spacing w:before="60" w:after="60"/>
        <w:ind w:left="896" w:hanging="357"/>
        <w:rPr>
          <w:rFonts w:cs="Times New Roman"/>
          <w:lang w:eastAsia="it-IT"/>
        </w:rPr>
      </w:pPr>
      <w:proofErr w:type="gramStart"/>
      <w:r w:rsidRPr="00A32E14">
        <w:rPr>
          <w:rFonts w:cs="Times New Roman"/>
          <w:lang w:eastAsia="it-IT"/>
        </w:rPr>
        <w:t>politica</w:t>
      </w:r>
      <w:proofErr w:type="gramEnd"/>
      <w:r w:rsidRPr="00A32E14">
        <w:rPr>
          <w:rFonts w:cs="Times New Roman"/>
          <w:lang w:eastAsia="it-IT"/>
        </w:rPr>
        <w:t xml:space="preserve"> e gestione di bilancio, politica societaria e fiscale, tutela del patrimonio aziendale;</w:t>
      </w:r>
    </w:p>
    <w:p w14:paraId="3A5BA1B7" w14:textId="77777777" w:rsidR="00A32E14" w:rsidRPr="00A32E14" w:rsidRDefault="00A32E14" w:rsidP="00A32E14">
      <w:pPr>
        <w:numPr>
          <w:ilvl w:val="0"/>
          <w:numId w:val="13"/>
        </w:numPr>
        <w:spacing w:before="60" w:after="60"/>
        <w:ind w:left="896" w:hanging="357"/>
        <w:rPr>
          <w:rFonts w:cs="Times New Roman"/>
          <w:lang w:eastAsia="it-IT"/>
        </w:rPr>
      </w:pPr>
      <w:proofErr w:type="gramStart"/>
      <w:r w:rsidRPr="00A32E14">
        <w:rPr>
          <w:rFonts w:cs="Times New Roman"/>
          <w:lang w:eastAsia="it-IT"/>
        </w:rPr>
        <w:t>politica</w:t>
      </w:r>
      <w:proofErr w:type="gramEnd"/>
      <w:r w:rsidRPr="00A32E14">
        <w:rPr>
          <w:rFonts w:cs="Times New Roman"/>
          <w:lang w:eastAsia="it-IT"/>
        </w:rPr>
        <w:t xml:space="preserve"> degli investimenti;</w:t>
      </w:r>
    </w:p>
    <w:p w14:paraId="6857BD79" w14:textId="77777777" w:rsidR="00A32E14" w:rsidRPr="00A32E14" w:rsidRDefault="00A32E14" w:rsidP="00A32E14">
      <w:pPr>
        <w:numPr>
          <w:ilvl w:val="0"/>
          <w:numId w:val="13"/>
        </w:numPr>
        <w:spacing w:before="60" w:after="60"/>
        <w:ind w:left="896" w:hanging="357"/>
        <w:rPr>
          <w:rFonts w:cs="Times New Roman"/>
          <w:lang w:eastAsia="it-IT"/>
        </w:rPr>
      </w:pPr>
      <w:proofErr w:type="gramStart"/>
      <w:r w:rsidRPr="00A32E14">
        <w:rPr>
          <w:rFonts w:cs="Times New Roman"/>
          <w:lang w:eastAsia="it-IT"/>
        </w:rPr>
        <w:t>supervisione</w:t>
      </w:r>
      <w:proofErr w:type="gramEnd"/>
      <w:r w:rsidRPr="00A32E14">
        <w:rPr>
          <w:rFonts w:cs="Times New Roman"/>
          <w:lang w:eastAsia="it-IT"/>
        </w:rPr>
        <w:t xml:space="preserve"> delle procedure e sistema di contabilità direzionale, generale e industriale;</w:t>
      </w:r>
    </w:p>
    <w:p w14:paraId="090CBC8D" w14:textId="77777777" w:rsidR="00A32E14" w:rsidRPr="00A32E14" w:rsidRDefault="00A32E14" w:rsidP="00A32E14">
      <w:pPr>
        <w:numPr>
          <w:ilvl w:val="0"/>
          <w:numId w:val="13"/>
        </w:numPr>
        <w:spacing w:before="60" w:after="60"/>
        <w:ind w:left="896" w:hanging="357"/>
        <w:rPr>
          <w:rFonts w:cs="Times New Roman"/>
          <w:lang w:eastAsia="it-IT"/>
        </w:rPr>
      </w:pPr>
      <w:proofErr w:type="gramStart"/>
      <w:r w:rsidRPr="00A32E14">
        <w:rPr>
          <w:rFonts w:cs="Times New Roman"/>
          <w:lang w:eastAsia="it-IT"/>
        </w:rPr>
        <w:t>definizione</w:t>
      </w:r>
      <w:proofErr w:type="gramEnd"/>
      <w:r w:rsidRPr="00A32E14">
        <w:rPr>
          <w:rFonts w:cs="Times New Roman"/>
          <w:lang w:eastAsia="it-IT"/>
        </w:rPr>
        <w:t xml:space="preserve"> degli obiettivi di pianificazione finanziaria a medio-lungo termine compatibili con le previsioni economiche patrimoniali pluriennali.</w:t>
      </w:r>
    </w:p>
    <w:p w14:paraId="48AA2EC9" w14:textId="77777777" w:rsidR="00A32E14" w:rsidRPr="00A32E14" w:rsidRDefault="00A32E14" w:rsidP="00A32E14">
      <w:pPr>
        <w:rPr>
          <w:rFonts w:cs="Times New Roman"/>
          <w:u w:val="single"/>
          <w:lang w:eastAsia="it-IT"/>
        </w:rPr>
      </w:pPr>
      <w:r w:rsidRPr="00A32E14">
        <w:rPr>
          <w:rFonts w:cs="Times New Roman"/>
          <w:u w:val="single"/>
          <w:lang w:eastAsia="it-IT"/>
        </w:rPr>
        <w:t>COMMERCIALE</w:t>
      </w:r>
    </w:p>
    <w:p w14:paraId="43D1AC63" w14:textId="77777777" w:rsidR="00A32E14" w:rsidRPr="00A32E14" w:rsidRDefault="00A32E14" w:rsidP="00A32E14">
      <w:pPr>
        <w:spacing w:after="60"/>
        <w:rPr>
          <w:rFonts w:cs="Times New Roman"/>
          <w:lang w:eastAsia="it-IT"/>
        </w:rPr>
      </w:pPr>
      <w:r w:rsidRPr="00A32E14">
        <w:rPr>
          <w:rFonts w:cs="Times New Roman"/>
          <w:lang w:eastAsia="it-IT"/>
        </w:rPr>
        <w:t>È la funzione che si occupa di raggiungere gli obiettivi commerciali assegnati in base alle linee guida definite dalla Direzione e coerenti con la missione, il ruolo e la collocazione dell’azienda sul mercato; in particolare, alla stessa è demandata:</w:t>
      </w:r>
    </w:p>
    <w:p w14:paraId="5DCF23DC" w14:textId="77777777" w:rsidR="00A32E14" w:rsidRPr="00A32E14" w:rsidRDefault="00A32E14" w:rsidP="00A32E14">
      <w:pPr>
        <w:numPr>
          <w:ilvl w:val="0"/>
          <w:numId w:val="14"/>
        </w:numPr>
        <w:tabs>
          <w:tab w:val="clear" w:pos="720"/>
          <w:tab w:val="left" w:pos="851"/>
        </w:tabs>
        <w:spacing w:before="60" w:after="60"/>
        <w:ind w:left="850" w:hanging="425"/>
        <w:rPr>
          <w:rFonts w:cs="Times New Roman"/>
          <w:lang w:eastAsia="it-IT"/>
        </w:rPr>
      </w:pPr>
      <w:proofErr w:type="gramStart"/>
      <w:r w:rsidRPr="00A32E14">
        <w:rPr>
          <w:rFonts w:cs="Times New Roman"/>
          <w:lang w:eastAsia="it-IT"/>
        </w:rPr>
        <w:t>la</w:t>
      </w:r>
      <w:proofErr w:type="gramEnd"/>
      <w:r w:rsidRPr="00A32E14">
        <w:rPr>
          <w:rFonts w:cs="Times New Roman"/>
          <w:lang w:eastAsia="it-IT"/>
        </w:rPr>
        <w:t xml:space="preserve"> gestione del rapporto con la clientela promuovendo le opportunità di sviluppo di nuovi prodotti/clienti. </w:t>
      </w:r>
    </w:p>
    <w:p w14:paraId="6E9F9D37" w14:textId="77777777" w:rsidR="00A32E14" w:rsidRPr="00A32E14" w:rsidRDefault="00A32E14" w:rsidP="00A32E14">
      <w:pPr>
        <w:numPr>
          <w:ilvl w:val="0"/>
          <w:numId w:val="14"/>
        </w:numPr>
        <w:tabs>
          <w:tab w:val="clear" w:pos="720"/>
          <w:tab w:val="left" w:pos="851"/>
        </w:tabs>
        <w:spacing w:before="60" w:after="60"/>
        <w:ind w:left="850" w:hanging="425"/>
        <w:rPr>
          <w:rFonts w:cs="Times New Roman"/>
          <w:lang w:eastAsia="it-IT"/>
        </w:rPr>
      </w:pPr>
      <w:proofErr w:type="gramStart"/>
      <w:r w:rsidRPr="00A32E14">
        <w:rPr>
          <w:rFonts w:cs="Times New Roman"/>
          <w:lang w:eastAsia="it-IT"/>
        </w:rPr>
        <w:t>l’elaborazione</w:t>
      </w:r>
      <w:proofErr w:type="gramEnd"/>
      <w:r w:rsidRPr="00A32E14">
        <w:rPr>
          <w:rFonts w:cs="Times New Roman"/>
          <w:lang w:eastAsia="it-IT"/>
        </w:rPr>
        <w:t xml:space="preserve"> completa dell’offerta al cliente coordinandosi con le funzioni aziendali coinvolte e concordando con la Direzione prezzi, margini e ritorno dell’investimento</w:t>
      </w:r>
    </w:p>
    <w:p w14:paraId="7C5F2F34" w14:textId="77777777" w:rsidR="00A32E14" w:rsidRPr="00A32E14" w:rsidRDefault="00A32E14" w:rsidP="00A32E14">
      <w:pPr>
        <w:numPr>
          <w:ilvl w:val="0"/>
          <w:numId w:val="14"/>
        </w:numPr>
        <w:tabs>
          <w:tab w:val="clear" w:pos="720"/>
          <w:tab w:val="left" w:pos="851"/>
        </w:tabs>
        <w:spacing w:before="60" w:after="60"/>
        <w:ind w:left="850" w:hanging="425"/>
        <w:rPr>
          <w:rFonts w:cs="Times New Roman"/>
          <w:lang w:eastAsia="it-IT"/>
        </w:rPr>
      </w:pPr>
      <w:proofErr w:type="gramStart"/>
      <w:r w:rsidRPr="00A32E14">
        <w:rPr>
          <w:rFonts w:cs="Times New Roman"/>
          <w:lang w:eastAsia="it-IT"/>
        </w:rPr>
        <w:t>la</w:t>
      </w:r>
      <w:proofErr w:type="gramEnd"/>
      <w:r w:rsidRPr="00A32E14">
        <w:rPr>
          <w:rFonts w:cs="Times New Roman"/>
          <w:lang w:eastAsia="it-IT"/>
        </w:rPr>
        <w:t xml:space="preserve"> negoziazione con il cliente le politiche annuali di prezzo tutelando i livelli di redditività dell’azienda;</w:t>
      </w:r>
    </w:p>
    <w:p w14:paraId="6AA2D134" w14:textId="77777777" w:rsidR="00A32E14" w:rsidRPr="00A32E14" w:rsidRDefault="00A32E14" w:rsidP="00A32E14">
      <w:pPr>
        <w:numPr>
          <w:ilvl w:val="0"/>
          <w:numId w:val="14"/>
        </w:numPr>
        <w:tabs>
          <w:tab w:val="clear" w:pos="720"/>
          <w:tab w:val="left" w:pos="851"/>
        </w:tabs>
        <w:spacing w:before="60" w:after="60"/>
        <w:ind w:left="850" w:hanging="425"/>
        <w:rPr>
          <w:rFonts w:cs="Times New Roman"/>
          <w:lang w:eastAsia="it-IT"/>
        </w:rPr>
      </w:pPr>
      <w:proofErr w:type="gramStart"/>
      <w:r w:rsidRPr="00A32E14">
        <w:rPr>
          <w:rFonts w:cs="Times New Roman"/>
          <w:lang w:eastAsia="it-IT"/>
        </w:rPr>
        <w:t>la</w:t>
      </w:r>
      <w:proofErr w:type="gramEnd"/>
      <w:r w:rsidRPr="00A32E14">
        <w:rPr>
          <w:rFonts w:cs="Times New Roman"/>
          <w:lang w:eastAsia="it-IT"/>
        </w:rPr>
        <w:t xml:space="preserve"> promozione dello sviluppo di nuove opportunità commerciali attraverso l’ampliamento di gamma presso i clienti esistenti, l’acquisizione di nuovi prodotti e l’accesso a nuovi clienti.</w:t>
      </w:r>
    </w:p>
    <w:p w14:paraId="0340A6B7" w14:textId="77777777" w:rsidR="00A32E14" w:rsidRPr="00A32E14" w:rsidRDefault="00A32E14" w:rsidP="0046755B">
      <w:pPr>
        <w:keepNext/>
        <w:rPr>
          <w:rFonts w:cs="Times New Roman"/>
          <w:u w:val="single"/>
          <w:lang w:eastAsia="it-IT"/>
        </w:rPr>
      </w:pPr>
      <w:r w:rsidRPr="00A32E14">
        <w:rPr>
          <w:rFonts w:cs="Times New Roman"/>
          <w:u w:val="single"/>
          <w:lang w:eastAsia="it-IT"/>
        </w:rPr>
        <w:t>DIREZIONE STABILIMENTO</w:t>
      </w:r>
    </w:p>
    <w:p w14:paraId="62486064" w14:textId="77777777" w:rsidR="00A32E14" w:rsidRPr="00A32E14" w:rsidRDefault="00A32E14" w:rsidP="00A32E14">
      <w:pPr>
        <w:spacing w:before="60" w:after="60"/>
        <w:rPr>
          <w:rFonts w:cs="Times New Roman"/>
          <w:lang w:eastAsia="it-IT"/>
        </w:rPr>
      </w:pPr>
      <w:r w:rsidRPr="00A32E14">
        <w:rPr>
          <w:rFonts w:cs="Times New Roman"/>
          <w:lang w:eastAsia="it-IT"/>
        </w:rPr>
        <w:t>Il “Direttore di Stabilimento” (i.e. “</w:t>
      </w:r>
      <w:r w:rsidRPr="00A32E14">
        <w:rPr>
          <w:rFonts w:cs="Times New Roman"/>
          <w:i/>
          <w:lang w:eastAsia="it-IT"/>
        </w:rPr>
        <w:t>Plant Manager</w:t>
      </w:r>
      <w:r w:rsidRPr="00A32E14">
        <w:rPr>
          <w:rFonts w:cs="Times New Roman"/>
          <w:lang w:eastAsia="it-IT"/>
        </w:rPr>
        <w:t>”) riporta alla Direzione ed è dalla stessa investita di poteri a mezzo per l’area tecnico-produttiva per cui ha le seguenti responsabilità:</w:t>
      </w:r>
    </w:p>
    <w:p w14:paraId="0DA6D917"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assicurare</w:t>
      </w:r>
      <w:proofErr w:type="gramEnd"/>
      <w:r w:rsidRPr="00A32E14">
        <w:rPr>
          <w:rFonts w:cs="Times New Roman"/>
          <w:lang w:eastAsia="it-IT"/>
        </w:rPr>
        <w:t>, nei tempi e con i metodi previsti, i volumi produttivi ed i livelli qualitativi identificati nel “</w:t>
      </w:r>
      <w:r w:rsidRPr="00A32E14">
        <w:rPr>
          <w:rFonts w:cs="Times New Roman"/>
          <w:i/>
          <w:lang w:eastAsia="it-IT"/>
        </w:rPr>
        <w:t>business plan</w:t>
      </w:r>
      <w:r w:rsidRPr="00A32E14">
        <w:rPr>
          <w:rFonts w:cs="Times New Roman"/>
          <w:lang w:eastAsia="it-IT"/>
        </w:rPr>
        <w:t>” o nel “</w:t>
      </w:r>
      <w:r w:rsidRPr="00A32E14">
        <w:rPr>
          <w:rFonts w:cs="Times New Roman"/>
          <w:i/>
          <w:lang w:eastAsia="it-IT"/>
        </w:rPr>
        <w:t>budget</w:t>
      </w:r>
      <w:r w:rsidRPr="00A32E14">
        <w:rPr>
          <w:rFonts w:cs="Times New Roman"/>
          <w:lang w:eastAsia="it-IT"/>
        </w:rPr>
        <w:t>” produttivo dello stabilimento, ottimizzando i costi di produzione e gestendo i processi di “</w:t>
      </w:r>
      <w:r w:rsidRPr="00A32E14">
        <w:rPr>
          <w:rFonts w:cs="Times New Roman"/>
          <w:i/>
          <w:lang w:eastAsia="it-IT"/>
        </w:rPr>
        <w:t>supply chain</w:t>
      </w:r>
      <w:r w:rsidRPr="00A32E14">
        <w:rPr>
          <w:rFonts w:cs="Times New Roman"/>
          <w:lang w:eastAsia="it-IT"/>
        </w:rPr>
        <w:t>”;</w:t>
      </w:r>
    </w:p>
    <w:p w14:paraId="54E2FC07" w14:textId="77777777" w:rsidR="00A32E14" w:rsidRPr="00A32E14" w:rsidRDefault="00A32E14" w:rsidP="00A32E14">
      <w:pPr>
        <w:numPr>
          <w:ilvl w:val="0"/>
          <w:numId w:val="14"/>
        </w:numPr>
        <w:tabs>
          <w:tab w:val="clear" w:pos="720"/>
          <w:tab w:val="num" w:pos="426"/>
          <w:tab w:val="num" w:pos="851"/>
        </w:tabs>
        <w:spacing w:before="60" w:after="60"/>
        <w:ind w:left="851" w:hanging="426"/>
        <w:rPr>
          <w:rFonts w:cs="Times New Roman"/>
          <w:lang w:eastAsia="it-IT"/>
        </w:rPr>
      </w:pPr>
      <w:proofErr w:type="gramStart"/>
      <w:r w:rsidRPr="00A32E14">
        <w:rPr>
          <w:rFonts w:cs="Times New Roman"/>
          <w:lang w:eastAsia="it-IT"/>
        </w:rPr>
        <w:t>coordinare</w:t>
      </w:r>
      <w:proofErr w:type="gramEnd"/>
      <w:r w:rsidRPr="00A32E14">
        <w:rPr>
          <w:rFonts w:cs="Times New Roman"/>
          <w:lang w:eastAsia="it-IT"/>
        </w:rPr>
        <w:t xml:space="preserve"> e supervisionare l’intera area delle c.d. attività “OPERATIONS” (Acquisti, Logistica, Progettazione, Produzione) adottando tutti le azioni di carattere ordinario e </w:t>
      </w:r>
      <w:r w:rsidRPr="00A32E14">
        <w:rPr>
          <w:rFonts w:cs="Times New Roman"/>
          <w:lang w:eastAsia="it-IT"/>
        </w:rPr>
        <w:lastRenderedPageBreak/>
        <w:t>straordinario necessari al buon funzionamento dell’area e coinvolgendo i propri collaboratori nelle politiche di sviluppo della società.</w:t>
      </w:r>
    </w:p>
    <w:p w14:paraId="22EB8CFC" w14:textId="77777777" w:rsidR="00A32E14" w:rsidRPr="00A32E14" w:rsidRDefault="00A32E14" w:rsidP="00A32E14">
      <w:pPr>
        <w:rPr>
          <w:rFonts w:cs="Times New Roman"/>
          <w:lang w:eastAsia="it-IT"/>
        </w:rPr>
      </w:pPr>
      <w:r w:rsidRPr="00A32E14">
        <w:rPr>
          <w:rFonts w:cs="Times New Roman"/>
          <w:lang w:eastAsia="it-IT"/>
        </w:rPr>
        <w:t>La funzione partecipa al processo di elaborazione del “Piano Industriale” in sinergia con gli obiettivi definiti nel “Piano Strategico” della Società.</w:t>
      </w:r>
    </w:p>
    <w:p w14:paraId="418C5D5D" w14:textId="77777777" w:rsidR="00A32E14" w:rsidRPr="00A32E14" w:rsidRDefault="00A32E14" w:rsidP="00A32E14">
      <w:pPr>
        <w:rPr>
          <w:rFonts w:cs="Times New Roman"/>
          <w:u w:val="single"/>
          <w:lang w:eastAsia="it-IT"/>
        </w:rPr>
      </w:pPr>
      <w:r w:rsidRPr="00A32E14">
        <w:rPr>
          <w:rFonts w:cs="Times New Roman"/>
          <w:u w:val="single"/>
          <w:lang w:eastAsia="it-IT"/>
        </w:rPr>
        <w:t>QUALITA’/AMBIENTE</w:t>
      </w:r>
    </w:p>
    <w:p w14:paraId="40E68D01" w14:textId="77777777" w:rsidR="00A32E14" w:rsidRPr="00A32E14" w:rsidRDefault="00A32E14" w:rsidP="00A32E14">
      <w:pPr>
        <w:rPr>
          <w:rFonts w:cs="Times New Roman"/>
          <w:lang w:eastAsia="it-IT"/>
        </w:rPr>
      </w:pPr>
      <w:r w:rsidRPr="00A32E14">
        <w:rPr>
          <w:rFonts w:cs="Times New Roman"/>
          <w:lang w:eastAsia="it-IT"/>
        </w:rPr>
        <w:t>La funzione “Qualità/Ambiente” è responsabile, con la collaborazione delle altre funzioni, della gestione dei processi inerenti il Sistema Qualità e Ambiente della società rispondendo agli schemi scelti (UNI EN ISO 9001, ISO/TS 16949, ISO 14001).</w:t>
      </w:r>
    </w:p>
    <w:p w14:paraId="67BC3F7F" w14:textId="77777777" w:rsidR="00A32E14" w:rsidRPr="00A32E14" w:rsidRDefault="00A32E14" w:rsidP="00A32E14">
      <w:pPr>
        <w:spacing w:after="60"/>
        <w:rPr>
          <w:rFonts w:cs="Times New Roman"/>
          <w:lang w:eastAsia="it-IT"/>
        </w:rPr>
      </w:pPr>
      <w:r w:rsidRPr="00A32E14">
        <w:rPr>
          <w:rFonts w:cs="Times New Roman"/>
          <w:lang w:eastAsia="it-IT"/>
        </w:rPr>
        <w:t>A tale funzione, è altresì attribuito il compito di:</w:t>
      </w:r>
    </w:p>
    <w:p w14:paraId="3BDCC6B3" w14:textId="77777777" w:rsidR="00A32E14" w:rsidRPr="00A32E14" w:rsidRDefault="00A32E14" w:rsidP="00A32E14">
      <w:pPr>
        <w:numPr>
          <w:ilvl w:val="0"/>
          <w:numId w:val="14"/>
        </w:numPr>
        <w:tabs>
          <w:tab w:val="clear" w:pos="720"/>
        </w:tabs>
        <w:spacing w:before="60" w:after="60"/>
        <w:ind w:left="850" w:hanging="425"/>
        <w:rPr>
          <w:rFonts w:cs="Times New Roman"/>
          <w:lang w:eastAsia="it-IT"/>
        </w:rPr>
      </w:pPr>
      <w:proofErr w:type="gramStart"/>
      <w:r w:rsidRPr="00A32E14">
        <w:rPr>
          <w:rFonts w:cs="Times New Roman"/>
          <w:lang w:eastAsia="it-IT"/>
        </w:rPr>
        <w:t>diffondere</w:t>
      </w:r>
      <w:proofErr w:type="gramEnd"/>
      <w:r w:rsidRPr="00A32E14">
        <w:rPr>
          <w:rFonts w:cs="Times New Roman"/>
          <w:lang w:eastAsia="it-IT"/>
        </w:rPr>
        <w:t xml:space="preserve"> la “Politica per la Qualità” all’interno dell’azienda;</w:t>
      </w:r>
    </w:p>
    <w:p w14:paraId="1FBF9985" w14:textId="77777777" w:rsidR="00A32E14" w:rsidRPr="00A32E14" w:rsidRDefault="00A32E14" w:rsidP="00A32E14">
      <w:pPr>
        <w:numPr>
          <w:ilvl w:val="0"/>
          <w:numId w:val="14"/>
        </w:numPr>
        <w:tabs>
          <w:tab w:val="clear" w:pos="720"/>
        </w:tabs>
        <w:spacing w:before="60" w:after="60"/>
        <w:ind w:left="850" w:hanging="425"/>
        <w:rPr>
          <w:rFonts w:cs="Times New Roman"/>
          <w:lang w:eastAsia="it-IT"/>
        </w:rPr>
      </w:pPr>
      <w:proofErr w:type="gramStart"/>
      <w:r w:rsidRPr="00A32E14">
        <w:rPr>
          <w:rFonts w:cs="Times New Roman"/>
          <w:lang w:eastAsia="it-IT"/>
        </w:rPr>
        <w:t>fornire</w:t>
      </w:r>
      <w:proofErr w:type="gramEnd"/>
      <w:r w:rsidRPr="00A32E14">
        <w:rPr>
          <w:rFonts w:cs="Times New Roman"/>
          <w:lang w:eastAsia="it-IT"/>
        </w:rPr>
        <w:t xml:space="preserve"> alla Direzione le informazioni necessarie per attuare piani di miglioramento continuo;</w:t>
      </w:r>
    </w:p>
    <w:p w14:paraId="14714AA7" w14:textId="77777777" w:rsidR="00A32E14" w:rsidRPr="00A32E14" w:rsidRDefault="00A32E14" w:rsidP="00A32E14">
      <w:pPr>
        <w:numPr>
          <w:ilvl w:val="0"/>
          <w:numId w:val="14"/>
        </w:numPr>
        <w:tabs>
          <w:tab w:val="clear" w:pos="720"/>
        </w:tabs>
        <w:spacing w:before="60" w:after="60"/>
        <w:ind w:left="850" w:hanging="425"/>
        <w:rPr>
          <w:rFonts w:cs="Times New Roman"/>
          <w:lang w:eastAsia="it-IT"/>
        </w:rPr>
      </w:pPr>
      <w:proofErr w:type="gramStart"/>
      <w:r w:rsidRPr="00A32E14">
        <w:rPr>
          <w:rFonts w:cs="Times New Roman"/>
          <w:lang w:eastAsia="it-IT"/>
        </w:rPr>
        <w:t>garantire</w:t>
      </w:r>
      <w:proofErr w:type="gramEnd"/>
      <w:r w:rsidRPr="00A32E14">
        <w:rPr>
          <w:rFonts w:cs="Times New Roman"/>
          <w:lang w:eastAsia="it-IT"/>
        </w:rPr>
        <w:t xml:space="preserve"> i requisiti qualitativi nella fase di sviluppo del progetto e di produzione di serie e verifica con i fornitori il rispetto dei requisiti di qualità dei prodotti in entrata;</w:t>
      </w:r>
    </w:p>
    <w:p w14:paraId="59499925" w14:textId="77777777" w:rsidR="00A32E14" w:rsidRPr="00A32E14" w:rsidRDefault="00A32E14" w:rsidP="00A32E14">
      <w:pPr>
        <w:numPr>
          <w:ilvl w:val="0"/>
          <w:numId w:val="14"/>
        </w:numPr>
        <w:tabs>
          <w:tab w:val="clear" w:pos="720"/>
        </w:tabs>
        <w:spacing w:before="60" w:after="60"/>
        <w:ind w:left="850" w:hanging="425"/>
        <w:rPr>
          <w:rFonts w:cs="Times New Roman"/>
          <w:lang w:eastAsia="it-IT"/>
        </w:rPr>
      </w:pPr>
      <w:proofErr w:type="gramStart"/>
      <w:r w:rsidRPr="00A32E14">
        <w:rPr>
          <w:rFonts w:cs="Times New Roman"/>
          <w:lang w:eastAsia="it-IT"/>
        </w:rPr>
        <w:t>coordinare</w:t>
      </w:r>
      <w:proofErr w:type="gramEnd"/>
      <w:r w:rsidRPr="00A32E14">
        <w:rPr>
          <w:rFonts w:cs="Times New Roman"/>
          <w:lang w:eastAsia="it-IT"/>
        </w:rPr>
        <w:t xml:space="preserve"> le attività di “Certificazione e Controllo Qualità”, i processi di “Laboratorio Metrologico” e di “</w:t>
      </w:r>
      <w:proofErr w:type="spellStart"/>
      <w:r w:rsidRPr="00A32E14">
        <w:rPr>
          <w:rFonts w:cs="Times New Roman"/>
          <w:i/>
          <w:lang w:eastAsia="it-IT"/>
        </w:rPr>
        <w:t>compliance</w:t>
      </w:r>
      <w:proofErr w:type="spellEnd"/>
      <w:r w:rsidRPr="00A32E14">
        <w:rPr>
          <w:rFonts w:cs="Times New Roman"/>
          <w:lang w:eastAsia="it-IT"/>
        </w:rPr>
        <w:t>” alle “Politiche Ambientali”.</w:t>
      </w:r>
    </w:p>
    <w:p w14:paraId="77850E49" w14:textId="77777777" w:rsidR="00A32E14" w:rsidRPr="00A32E14" w:rsidRDefault="00A32E14" w:rsidP="00A32E14">
      <w:pPr>
        <w:rPr>
          <w:rFonts w:cs="Times New Roman"/>
          <w:u w:val="single"/>
          <w:lang w:eastAsia="it-IT"/>
        </w:rPr>
      </w:pPr>
      <w:r w:rsidRPr="00A32E14">
        <w:rPr>
          <w:rFonts w:cs="Times New Roman"/>
          <w:u w:val="single"/>
          <w:lang w:eastAsia="it-IT"/>
        </w:rPr>
        <w:t>RICERCA E SVILUPPO</w:t>
      </w:r>
    </w:p>
    <w:p w14:paraId="4681EB4C" w14:textId="77777777" w:rsidR="00A32E14" w:rsidRPr="00A32E14" w:rsidRDefault="00A32E14" w:rsidP="00A32E14">
      <w:pPr>
        <w:rPr>
          <w:rFonts w:cs="Times New Roman"/>
          <w:lang w:eastAsia="it-IT"/>
        </w:rPr>
      </w:pPr>
      <w:r w:rsidRPr="00A32E14">
        <w:rPr>
          <w:rFonts w:cs="Times New Roman"/>
          <w:lang w:eastAsia="it-IT"/>
        </w:rPr>
        <w:t>La funzione “Ricerca e sviluppo” garantisce, nell’ambito delle strategie e delle politiche aziendali, l’identificazione, la tempificazione e l’attuazione dei progetti di sviluppo dei nuovi prodotti rispondenti alle esigenze ed ai requisiti richiesti dal Cliente.</w:t>
      </w:r>
    </w:p>
    <w:p w14:paraId="012CA84B" w14:textId="77777777" w:rsidR="00A32E14" w:rsidRPr="00A32E14" w:rsidRDefault="00A32E14" w:rsidP="00A32E14">
      <w:pPr>
        <w:rPr>
          <w:rFonts w:cs="Times New Roman"/>
          <w:lang w:eastAsia="it-IT"/>
        </w:rPr>
      </w:pPr>
      <w:r w:rsidRPr="00A32E14">
        <w:rPr>
          <w:rFonts w:cs="Times New Roman"/>
          <w:lang w:eastAsia="it-IT"/>
        </w:rPr>
        <w:t>Tale unità organizzativa si occupa dell’analisi di fattibilità di sviluppo del prodotto, supportando la funzione commerciale nella formulazione delle offerte e predisponendo tutta la documentazione tecnica primaria; inoltre, la stessa presidia e supervisiona tutte le attività di sviluppo dei progetti, assicurandone la qualità, garantendo i tempi di sviluppo previsti e validando componenti e attrezzature per la realizzazione dei prodotti.</w:t>
      </w:r>
    </w:p>
    <w:p w14:paraId="2940E504" w14:textId="77777777" w:rsidR="00A32E14" w:rsidRPr="00A32E14" w:rsidRDefault="00A32E14" w:rsidP="00A32E14">
      <w:pPr>
        <w:rPr>
          <w:rFonts w:cs="Times New Roman"/>
          <w:lang w:eastAsia="it-IT"/>
        </w:rPr>
      </w:pPr>
      <w:r w:rsidRPr="00A32E14">
        <w:rPr>
          <w:rFonts w:cs="Times New Roman"/>
          <w:lang w:eastAsia="it-IT"/>
        </w:rPr>
        <w:t>In quest’area si fondono competenze di meccanica e di elettronica che hanno l’obiettivo di studiare, proporre e prevenire le prevalenti aspettative del cliente, proponendo anche soluzioni innovative in grado di anticipare i cambiamenti e le tendenze evolutive del mercato.</w:t>
      </w:r>
    </w:p>
    <w:p w14:paraId="399EA4E5" w14:textId="77777777" w:rsidR="00A32E14" w:rsidRPr="00A32E14" w:rsidRDefault="00A32E14" w:rsidP="00A32E14">
      <w:pPr>
        <w:rPr>
          <w:rFonts w:cs="Times New Roman"/>
          <w:lang w:eastAsia="it-IT"/>
        </w:rPr>
      </w:pPr>
      <w:r w:rsidRPr="00A32E14">
        <w:rPr>
          <w:rFonts w:cs="Times New Roman"/>
          <w:lang w:eastAsia="it-IT"/>
        </w:rPr>
        <w:t>Dal 2007, è stata implementata anche la funzione denominata “Innovazione” che ha l’obiettivo di studiare, integrandosi con la funzione “Ricerca e Sviluppo” tradizionale, le aspettative crescenti del mercato “</w:t>
      </w:r>
      <w:r w:rsidRPr="00A32E14">
        <w:rPr>
          <w:rFonts w:cs="Times New Roman"/>
          <w:i/>
          <w:lang w:eastAsia="it-IT"/>
        </w:rPr>
        <w:t>Automotive</w:t>
      </w:r>
      <w:r w:rsidRPr="00A32E14">
        <w:rPr>
          <w:rFonts w:cs="Times New Roman"/>
          <w:lang w:eastAsia="it-IT"/>
        </w:rPr>
        <w:t xml:space="preserve">” e di proporre soluzioni più avanzate ad elevato contenuto innovativo, capaci di anticipare le esigenze della clientela. </w:t>
      </w:r>
    </w:p>
    <w:p w14:paraId="1628AD63" w14:textId="77777777" w:rsidR="00A32E14" w:rsidRPr="00A32E14" w:rsidRDefault="00A32E14" w:rsidP="00A32E14">
      <w:pPr>
        <w:rPr>
          <w:rFonts w:cs="Times New Roman"/>
          <w:lang w:eastAsia="it-IT"/>
        </w:rPr>
      </w:pPr>
      <w:r w:rsidRPr="00A32E14">
        <w:rPr>
          <w:rFonts w:cs="Times New Roman"/>
          <w:lang w:eastAsia="it-IT"/>
        </w:rPr>
        <w:t>L’azienda, che storicamente ha sviluppato prodotti elettromeccanici, affida a questa nuova funzione il compito di sviluppare anche prodotti con contenuto elettronico.</w:t>
      </w:r>
    </w:p>
    <w:p w14:paraId="31907600" w14:textId="77777777" w:rsidR="00A32E14" w:rsidRPr="00A32E14" w:rsidRDefault="00A32E14" w:rsidP="001E3F32">
      <w:pPr>
        <w:keepNext/>
        <w:rPr>
          <w:rFonts w:cs="Times New Roman"/>
          <w:u w:val="single"/>
          <w:lang w:eastAsia="it-IT"/>
        </w:rPr>
      </w:pPr>
      <w:r w:rsidRPr="00A32E14">
        <w:rPr>
          <w:rFonts w:cs="Times New Roman"/>
          <w:u w:val="single"/>
          <w:lang w:eastAsia="it-IT"/>
        </w:rPr>
        <w:t>CONTROLLO DI GESTIONE</w:t>
      </w:r>
    </w:p>
    <w:p w14:paraId="0E0B98F9" w14:textId="77777777" w:rsidR="00A32E14" w:rsidRPr="00A32E14" w:rsidRDefault="00A32E14" w:rsidP="00A32E14">
      <w:pPr>
        <w:rPr>
          <w:rFonts w:cs="Times New Roman"/>
          <w:lang w:eastAsia="it-IT"/>
        </w:rPr>
      </w:pPr>
      <w:r w:rsidRPr="00A32E14">
        <w:rPr>
          <w:rFonts w:cs="Times New Roman"/>
          <w:lang w:eastAsia="it-IT"/>
        </w:rPr>
        <w:t>Implementata nella struttura aziendale dal 2008, è la funzione che si occupa di gestire l’attività di verifica, monitoraggio e previsione delle dinamiche economiche e patrimoniali determinate dai processi aziendali specifici e dal loro andamento complessivo.</w:t>
      </w:r>
    </w:p>
    <w:p w14:paraId="6DF83A0F" w14:textId="77777777" w:rsidR="00A32E14" w:rsidRPr="00A32E14" w:rsidRDefault="00A32E14" w:rsidP="00A32E14">
      <w:pPr>
        <w:spacing w:before="60" w:after="60"/>
        <w:rPr>
          <w:rFonts w:cs="Times New Roman"/>
          <w:lang w:eastAsia="it-IT"/>
        </w:rPr>
      </w:pPr>
      <w:r w:rsidRPr="00A32E14">
        <w:rPr>
          <w:rFonts w:cs="Times New Roman"/>
          <w:lang w:eastAsia="it-IT"/>
        </w:rPr>
        <w:t>A tale organo di staff compete:</w:t>
      </w:r>
    </w:p>
    <w:p w14:paraId="66D834BA"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la</w:t>
      </w:r>
      <w:proofErr w:type="gramEnd"/>
      <w:r w:rsidRPr="00A32E14">
        <w:rPr>
          <w:rFonts w:cs="Times New Roman"/>
          <w:lang w:eastAsia="it-IT"/>
        </w:rPr>
        <w:t xml:space="preserve"> gestione delle attività di supporto per l’elaborazione e il controllo e le azioni correttive dell’andamento degli indicatori di performance aziendali;</w:t>
      </w:r>
    </w:p>
    <w:p w14:paraId="0F6BB756"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lastRenderedPageBreak/>
        <w:t>la</w:t>
      </w:r>
      <w:proofErr w:type="gramEnd"/>
      <w:r w:rsidRPr="00A32E14">
        <w:rPr>
          <w:rFonts w:cs="Times New Roman"/>
          <w:lang w:eastAsia="it-IT"/>
        </w:rPr>
        <w:t xml:space="preserve"> verifica della correttezza dei flussi di informazioni necessari alla valorizzazione e alla verifica economica dello stato di avanzamento dei progetti relativi ai prodotti realizzati dall’azienda sia in fase preventiva sia in fase esecutiva;</w:t>
      </w:r>
    </w:p>
    <w:p w14:paraId="32652A12"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il</w:t>
      </w:r>
      <w:proofErr w:type="gramEnd"/>
      <w:r w:rsidRPr="00A32E14">
        <w:rPr>
          <w:rFonts w:cs="Times New Roman"/>
          <w:lang w:eastAsia="it-IT"/>
        </w:rPr>
        <w:t xml:space="preserve"> mantenimento e l’aggiornamento del sistema di contabilità industriale ed analitica;</w:t>
      </w:r>
    </w:p>
    <w:p w14:paraId="6E0BC77B"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il</w:t>
      </w:r>
      <w:proofErr w:type="gramEnd"/>
      <w:r w:rsidRPr="00A32E14">
        <w:rPr>
          <w:rFonts w:cs="Times New Roman"/>
          <w:lang w:eastAsia="it-IT"/>
        </w:rPr>
        <w:t xml:space="preserve"> supporto alla Direzione Amministrativa/Finanziaria nella gestione delle attività di pianificazione e controllo.</w:t>
      </w:r>
    </w:p>
    <w:p w14:paraId="54F0BCCF" w14:textId="77777777" w:rsidR="00A32E14" w:rsidRPr="00A32E14" w:rsidRDefault="00A32E14" w:rsidP="00A32E14">
      <w:pPr>
        <w:rPr>
          <w:rFonts w:cs="Times New Roman"/>
          <w:u w:val="single"/>
          <w:lang w:eastAsia="it-IT"/>
        </w:rPr>
      </w:pPr>
      <w:r w:rsidRPr="00A32E14">
        <w:rPr>
          <w:rFonts w:cs="Times New Roman"/>
          <w:u w:val="single"/>
          <w:lang w:eastAsia="it-IT"/>
        </w:rPr>
        <w:t>RISORSE UMANE</w:t>
      </w:r>
    </w:p>
    <w:p w14:paraId="3288263E" w14:textId="77777777" w:rsidR="00A32E14" w:rsidRPr="00A32E14" w:rsidRDefault="00A32E14" w:rsidP="00A32E14">
      <w:pPr>
        <w:rPr>
          <w:rFonts w:cs="Times New Roman"/>
          <w:lang w:eastAsia="it-IT"/>
        </w:rPr>
      </w:pPr>
      <w:r w:rsidRPr="00A32E14">
        <w:rPr>
          <w:rFonts w:cs="Times New Roman"/>
          <w:lang w:eastAsia="it-IT"/>
        </w:rPr>
        <w:t>La funzione “Risorse Umane” si occupa di gestire le politiche di sviluppo del personale in accordo con le linee guida definite dalla “Direzione”.</w:t>
      </w:r>
    </w:p>
    <w:p w14:paraId="2C2FF895" w14:textId="77777777" w:rsidR="00A32E14" w:rsidRPr="00A32E14" w:rsidRDefault="00A32E14" w:rsidP="00A32E14">
      <w:pPr>
        <w:spacing w:after="60"/>
        <w:rPr>
          <w:rFonts w:cs="Times New Roman"/>
          <w:lang w:eastAsia="it-IT"/>
        </w:rPr>
      </w:pPr>
      <w:r w:rsidRPr="00A32E14">
        <w:rPr>
          <w:rFonts w:cs="Times New Roman"/>
          <w:lang w:eastAsia="it-IT"/>
        </w:rPr>
        <w:t>Tale unità organizzativa:</w:t>
      </w:r>
    </w:p>
    <w:p w14:paraId="476040B9"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coordina</w:t>
      </w:r>
      <w:proofErr w:type="gramEnd"/>
      <w:r w:rsidRPr="00A32E14">
        <w:rPr>
          <w:rFonts w:cs="Times New Roman"/>
          <w:lang w:eastAsia="it-IT"/>
        </w:rPr>
        <w:t xml:space="preserve"> le attività di analisi dei ruoli organizzativi, di valutazione delle competenze, di individuazione dei fabbisogni e degli obiettivi formativi, della realizzazione dei piani di crescita professionale, nonché dell’organizzazione e realizzazione delle attività formative necessarie;</w:t>
      </w:r>
    </w:p>
    <w:p w14:paraId="529FD5D1"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assicura</w:t>
      </w:r>
      <w:proofErr w:type="gramEnd"/>
      <w:r w:rsidRPr="00A32E14">
        <w:rPr>
          <w:rFonts w:cs="Times New Roman"/>
          <w:lang w:eastAsia="it-IT"/>
        </w:rPr>
        <w:t xml:space="preserve"> una corretta politica di gestione del personale coordinando le attività di politica retributiva: posizionamento dei ruoli all’interno dell’organizzazione in linea con i valori del mercato, sviluppo e pianificazione delle carriere;</w:t>
      </w:r>
    </w:p>
    <w:p w14:paraId="58DAA03F"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gestisce</w:t>
      </w:r>
      <w:proofErr w:type="gramEnd"/>
      <w:r w:rsidRPr="00A32E14">
        <w:rPr>
          <w:rFonts w:cs="Times New Roman"/>
          <w:lang w:eastAsia="it-IT"/>
        </w:rPr>
        <w:t xml:space="preserve"> il processo di ricerca, selezione e inserimento di nuovo personale sulla base dei fabbisogni evidenziati dalla struttura e dalle esigenze di mercato;</w:t>
      </w:r>
    </w:p>
    <w:p w14:paraId="56426B40"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coordina</w:t>
      </w:r>
      <w:proofErr w:type="gramEnd"/>
      <w:r w:rsidRPr="00A32E14">
        <w:rPr>
          <w:rFonts w:cs="Times New Roman"/>
          <w:lang w:eastAsia="it-IT"/>
        </w:rPr>
        <w:t xml:space="preserve"> le attività di comunicazione interna tra la Direzione e il personale aziendale.</w:t>
      </w:r>
    </w:p>
    <w:p w14:paraId="4D195256" w14:textId="77777777" w:rsidR="00A32E14" w:rsidRPr="00A32E14" w:rsidRDefault="00A32E14" w:rsidP="00A32E14">
      <w:pPr>
        <w:rPr>
          <w:rFonts w:cs="Times New Roman"/>
          <w:u w:val="single"/>
          <w:lang w:eastAsia="it-IT"/>
        </w:rPr>
      </w:pPr>
      <w:r w:rsidRPr="00A32E14">
        <w:rPr>
          <w:rFonts w:cs="Times New Roman"/>
          <w:lang w:eastAsia="it-IT"/>
        </w:rPr>
        <w:t>La funzione di “Information Technology” presidia e gestisce tutti i processi e l’infrastruttura IT dell’azienda, proponendo soluzioni ottimali in funzione dei fabbisogni aziendali.</w:t>
      </w:r>
    </w:p>
    <w:p w14:paraId="5F789025" w14:textId="77777777" w:rsidR="00A32E14" w:rsidRPr="00A32E14" w:rsidRDefault="00A32E14" w:rsidP="00A32E14">
      <w:pPr>
        <w:rPr>
          <w:rFonts w:cs="Times New Roman"/>
          <w:lang w:eastAsia="it-IT"/>
        </w:rPr>
      </w:pPr>
      <w:r w:rsidRPr="00A32E14">
        <w:rPr>
          <w:rFonts w:cs="Times New Roman"/>
          <w:lang w:eastAsia="it-IT"/>
        </w:rPr>
        <w:t>A tale organo di staff è altresì attribuito il compito di garantire, attraverso la definizione e l’implementazione di procedure e policy, la sicurezza dei dati presenti nell’infrastruttura e nei sistemi informativi, elaborando analisi dei possibili rischi, valutando l’affidabilità degli strumenti, nonché prevedendo possibili azioni e strumenti atti a garantire il corretto salvataggio dei dati e/o il ripristino degli stessi.</w:t>
      </w:r>
    </w:p>
    <w:p w14:paraId="2F3ED2A7" w14:textId="77777777" w:rsidR="00A32E14" w:rsidRPr="00A32E14" w:rsidRDefault="00A32E14" w:rsidP="00A32E14">
      <w:pPr>
        <w:rPr>
          <w:rFonts w:cs="Times New Roman"/>
          <w:u w:val="single"/>
          <w:lang w:eastAsia="it-IT"/>
        </w:rPr>
      </w:pPr>
      <w:r w:rsidRPr="00A32E14">
        <w:rPr>
          <w:rFonts w:cs="Times New Roman"/>
          <w:u w:val="single"/>
          <w:lang w:eastAsia="it-IT"/>
        </w:rPr>
        <w:t>PROJECT MANAGEMENT OFFICE</w:t>
      </w:r>
    </w:p>
    <w:p w14:paraId="18242A23" w14:textId="77777777" w:rsidR="00A32E14" w:rsidRPr="00A32E14" w:rsidRDefault="00A32E14" w:rsidP="00A32E14">
      <w:pPr>
        <w:rPr>
          <w:rFonts w:cs="Times New Roman"/>
          <w:lang w:eastAsia="it-IT"/>
        </w:rPr>
      </w:pPr>
      <w:r w:rsidRPr="00A32E14">
        <w:rPr>
          <w:rFonts w:cs="Times New Roman"/>
          <w:lang w:eastAsia="it-IT"/>
        </w:rPr>
        <w:t>Tale funzione di staff monitora e coordina tutte le attività di progetto nelle quali l’azienda è impegnata al fine di ottimizzare i progetti in essere. In particolare, la stessa interviene nelle seguenti aree:</w:t>
      </w:r>
    </w:p>
    <w:p w14:paraId="3E712F8C"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supporto</w:t>
      </w:r>
      <w:proofErr w:type="gramEnd"/>
      <w:r w:rsidRPr="00A32E14">
        <w:rPr>
          <w:rFonts w:cs="Times New Roman"/>
          <w:lang w:eastAsia="it-IT"/>
        </w:rPr>
        <w:t xml:space="preserve"> operativo e metodologico;</w:t>
      </w:r>
    </w:p>
    <w:p w14:paraId="1739D57E"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gestione</w:t>
      </w:r>
      <w:proofErr w:type="gramEnd"/>
      <w:r w:rsidRPr="00A32E14">
        <w:rPr>
          <w:rFonts w:cs="Times New Roman"/>
          <w:lang w:eastAsia="it-IT"/>
        </w:rPr>
        <w:t xml:space="preserve"> dell’infrastruttura di </w:t>
      </w:r>
      <w:r w:rsidRPr="00A32E14">
        <w:rPr>
          <w:rFonts w:cs="Times New Roman"/>
          <w:i/>
          <w:lang w:eastAsia="it-IT"/>
        </w:rPr>
        <w:t>delivery</w:t>
      </w:r>
      <w:r w:rsidRPr="00A32E14">
        <w:rPr>
          <w:rFonts w:cs="Times New Roman"/>
          <w:lang w:eastAsia="it-IT"/>
        </w:rPr>
        <w:t>;</w:t>
      </w:r>
    </w:p>
    <w:p w14:paraId="20C00F21"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gestione</w:t>
      </w:r>
      <w:proofErr w:type="gramEnd"/>
      <w:r w:rsidRPr="00A32E14">
        <w:rPr>
          <w:rFonts w:cs="Times New Roman"/>
          <w:lang w:eastAsia="it-IT"/>
        </w:rPr>
        <w:t xml:space="preserve"> dell’integrazione delle risorse;</w:t>
      </w:r>
    </w:p>
    <w:p w14:paraId="03111BFD"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gestione</w:t>
      </w:r>
      <w:proofErr w:type="gramEnd"/>
      <w:r w:rsidRPr="00A32E14">
        <w:rPr>
          <w:rFonts w:cs="Times New Roman"/>
          <w:lang w:eastAsia="it-IT"/>
        </w:rPr>
        <w:t xml:space="preserve"> del supporto tecnico;</w:t>
      </w:r>
    </w:p>
    <w:p w14:paraId="426B78D3" w14:textId="77777777" w:rsidR="00A32E14" w:rsidRPr="00A32E14" w:rsidRDefault="00A32E14" w:rsidP="00A32E14">
      <w:pPr>
        <w:numPr>
          <w:ilvl w:val="0"/>
          <w:numId w:val="14"/>
        </w:numPr>
        <w:tabs>
          <w:tab w:val="clear" w:pos="720"/>
          <w:tab w:val="num" w:pos="851"/>
        </w:tabs>
        <w:spacing w:before="60" w:after="60"/>
        <w:ind w:left="851" w:hanging="426"/>
        <w:rPr>
          <w:rFonts w:cs="Times New Roman"/>
          <w:lang w:eastAsia="it-IT"/>
        </w:rPr>
      </w:pPr>
      <w:proofErr w:type="gramStart"/>
      <w:r w:rsidRPr="00A32E14">
        <w:rPr>
          <w:rFonts w:cs="Times New Roman"/>
          <w:lang w:eastAsia="it-IT"/>
        </w:rPr>
        <w:t>allineamento</w:t>
      </w:r>
      <w:proofErr w:type="gramEnd"/>
      <w:r w:rsidRPr="00A32E14">
        <w:rPr>
          <w:rFonts w:cs="Times New Roman"/>
          <w:lang w:eastAsia="it-IT"/>
        </w:rPr>
        <w:t xml:space="preserve"> con gli obiettivi di </w:t>
      </w:r>
      <w:r w:rsidRPr="00A32E14">
        <w:rPr>
          <w:rFonts w:cs="Times New Roman"/>
          <w:i/>
          <w:lang w:eastAsia="it-IT"/>
        </w:rPr>
        <w:t>business</w:t>
      </w:r>
      <w:r w:rsidRPr="00A32E14">
        <w:rPr>
          <w:rFonts w:cs="Times New Roman"/>
          <w:lang w:eastAsia="it-IT"/>
        </w:rPr>
        <w:t>.</w:t>
      </w:r>
    </w:p>
    <w:p w14:paraId="469A0DBD" w14:textId="558D16F6" w:rsidR="00A32E14" w:rsidRDefault="00A32E14" w:rsidP="00A32E14">
      <w:pPr>
        <w:pStyle w:val="Titolo3"/>
        <w:numPr>
          <w:ilvl w:val="2"/>
          <w:numId w:val="5"/>
        </w:numPr>
      </w:pPr>
      <w:bookmarkStart w:id="49" w:name="_Toc25674100"/>
      <w:r>
        <w:lastRenderedPageBreak/>
        <w:t>Vimercati East Europe S.r.l.</w:t>
      </w:r>
      <w:bookmarkEnd w:id="49"/>
    </w:p>
    <w:p w14:paraId="4721E358" w14:textId="77777777" w:rsidR="00A32E14" w:rsidRPr="00A85FAE" w:rsidRDefault="00A32E14" w:rsidP="00110CB4">
      <w:pPr>
        <w:keepNext/>
        <w:rPr>
          <w:rFonts w:cs="Tahoma"/>
          <w:u w:val="single"/>
          <w:lang w:eastAsia="it-IT"/>
        </w:rPr>
      </w:pPr>
      <w:r w:rsidRPr="00A85FAE">
        <w:rPr>
          <w:rFonts w:cs="Tahoma"/>
          <w:u w:val="single"/>
          <w:lang w:eastAsia="it-IT"/>
        </w:rPr>
        <w:t>DIREZIONE GENERALE</w:t>
      </w:r>
    </w:p>
    <w:p w14:paraId="7A1B8C45" w14:textId="77777777" w:rsidR="00A32E14" w:rsidRPr="00A85FAE" w:rsidRDefault="00A32E14" w:rsidP="00A32E14">
      <w:pPr>
        <w:rPr>
          <w:rFonts w:cs="Tahoma"/>
          <w:lang w:eastAsia="it-IT"/>
        </w:rPr>
      </w:pPr>
      <w:r w:rsidRPr="00A85FAE">
        <w:rPr>
          <w:rFonts w:cs="Tahoma"/>
          <w:lang w:eastAsia="it-IT"/>
        </w:rPr>
        <w:t>Riporta alla Direzione di Vimercati ed è investita dei poteri dell’ordinaria gestione, per cui ha le seguenti responsabilità:</w:t>
      </w:r>
    </w:p>
    <w:p w14:paraId="0DE12316" w14:textId="77777777" w:rsidR="00A32E14" w:rsidRPr="00A85FAE" w:rsidRDefault="00A32E14" w:rsidP="00110CB4">
      <w:pPr>
        <w:numPr>
          <w:ilvl w:val="0"/>
          <w:numId w:val="13"/>
        </w:numPr>
        <w:spacing w:before="60" w:after="60"/>
        <w:ind w:left="896" w:hanging="357"/>
        <w:rPr>
          <w:rFonts w:cs="Tahoma"/>
          <w:lang w:eastAsia="it-IT"/>
        </w:rPr>
      </w:pPr>
      <w:proofErr w:type="gramStart"/>
      <w:r w:rsidRPr="00A85FAE">
        <w:rPr>
          <w:rFonts w:cs="Tahoma"/>
          <w:lang w:eastAsia="it-IT"/>
        </w:rPr>
        <w:t>assicurare</w:t>
      </w:r>
      <w:proofErr w:type="gramEnd"/>
      <w:r w:rsidRPr="00A85FAE">
        <w:rPr>
          <w:rFonts w:cs="Tahoma"/>
          <w:lang w:eastAsia="it-IT"/>
        </w:rPr>
        <w:t>, nei tempi e nei metodi previsti, i volumi produttivi ed i livelli qualitativi identificati nel piano produttivo dello stabilimento, ott</w:t>
      </w:r>
      <w:r>
        <w:rPr>
          <w:rFonts w:cs="Tahoma"/>
          <w:lang w:eastAsia="it-IT"/>
        </w:rPr>
        <w:t>imizzando i costi di produzione;</w:t>
      </w:r>
    </w:p>
    <w:p w14:paraId="110BCBC0" w14:textId="77777777" w:rsidR="00A32E14" w:rsidRPr="00A85FAE" w:rsidRDefault="00A32E14" w:rsidP="00110CB4">
      <w:pPr>
        <w:numPr>
          <w:ilvl w:val="0"/>
          <w:numId w:val="13"/>
        </w:numPr>
        <w:spacing w:before="60" w:after="60"/>
        <w:ind w:left="896" w:hanging="357"/>
        <w:rPr>
          <w:rFonts w:cs="Tahoma"/>
          <w:lang w:eastAsia="it-IT"/>
        </w:rPr>
      </w:pPr>
      <w:proofErr w:type="gramStart"/>
      <w:r w:rsidRPr="00A85FAE">
        <w:rPr>
          <w:rFonts w:cs="Tahoma"/>
          <w:lang w:eastAsia="it-IT"/>
        </w:rPr>
        <w:t>coordinare</w:t>
      </w:r>
      <w:proofErr w:type="gramEnd"/>
      <w:r w:rsidRPr="00A85FAE">
        <w:rPr>
          <w:rFonts w:cs="Tahoma"/>
          <w:lang w:eastAsia="it-IT"/>
        </w:rPr>
        <w:t xml:space="preserve"> e supervisionare l’intera area delle </w:t>
      </w:r>
      <w:proofErr w:type="spellStart"/>
      <w:r w:rsidRPr="002C6C6C">
        <w:rPr>
          <w:rFonts w:cs="Tahoma"/>
          <w:i/>
          <w:lang w:eastAsia="it-IT"/>
        </w:rPr>
        <w:t>operations</w:t>
      </w:r>
      <w:proofErr w:type="spellEnd"/>
      <w:r w:rsidRPr="00A85FAE">
        <w:rPr>
          <w:rFonts w:cs="Tahoma"/>
          <w:lang w:eastAsia="it-IT"/>
        </w:rPr>
        <w:t xml:space="preserve"> adottando tutti i provvedimenti di carattere ordinario e straordinario necessari al buon funzionamento dell’area e coinvolgendo i propri collaboratori nelle politiche di sviluppo della società</w:t>
      </w:r>
      <w:r>
        <w:rPr>
          <w:rFonts w:cs="Tahoma"/>
          <w:lang w:eastAsia="it-IT"/>
        </w:rPr>
        <w:t>;</w:t>
      </w:r>
    </w:p>
    <w:p w14:paraId="0C94468A" w14:textId="77777777" w:rsidR="00A32E14" w:rsidRPr="00A85FAE" w:rsidRDefault="00A32E14" w:rsidP="00110CB4">
      <w:pPr>
        <w:numPr>
          <w:ilvl w:val="0"/>
          <w:numId w:val="13"/>
        </w:numPr>
        <w:spacing w:before="60" w:after="60"/>
        <w:ind w:left="896" w:hanging="357"/>
        <w:rPr>
          <w:rFonts w:cs="Tahoma"/>
          <w:lang w:eastAsia="it-IT"/>
        </w:rPr>
      </w:pPr>
      <w:proofErr w:type="gramStart"/>
      <w:r w:rsidRPr="00A85FAE">
        <w:rPr>
          <w:rFonts w:cs="Tahoma"/>
          <w:lang w:eastAsia="it-IT"/>
        </w:rPr>
        <w:t>garantire</w:t>
      </w:r>
      <w:proofErr w:type="gramEnd"/>
      <w:r w:rsidRPr="00A85FAE">
        <w:rPr>
          <w:rFonts w:cs="Tahoma"/>
          <w:lang w:eastAsia="it-IT"/>
        </w:rPr>
        <w:t xml:space="preserve"> il rispetto e l’applicazione delle normative in materia di sicurezza ed ambiente.</w:t>
      </w:r>
    </w:p>
    <w:p w14:paraId="2F62E20B" w14:textId="77777777" w:rsidR="00A32E14" w:rsidRPr="00A85FAE" w:rsidRDefault="00A32E14" w:rsidP="00A32E14">
      <w:pPr>
        <w:rPr>
          <w:rFonts w:cs="Tahoma"/>
          <w:u w:val="single"/>
          <w:lang w:eastAsia="it-IT"/>
        </w:rPr>
      </w:pPr>
      <w:r w:rsidRPr="00A85FAE">
        <w:rPr>
          <w:rFonts w:cs="Tahoma"/>
          <w:u w:val="single"/>
          <w:lang w:eastAsia="it-IT"/>
        </w:rPr>
        <w:t>QUALITA’</w:t>
      </w:r>
    </w:p>
    <w:p w14:paraId="7F868587" w14:textId="77777777" w:rsidR="00A32E14" w:rsidRPr="00A85FAE" w:rsidRDefault="00A32E14" w:rsidP="00A32E14">
      <w:pPr>
        <w:rPr>
          <w:rFonts w:cs="Tahoma"/>
          <w:lang w:eastAsia="it-IT"/>
        </w:rPr>
      </w:pPr>
      <w:r w:rsidRPr="00A85FAE">
        <w:rPr>
          <w:rFonts w:cs="Tahoma"/>
          <w:lang w:eastAsia="it-IT"/>
        </w:rPr>
        <w:t>È la funzione che si occupa di governare, con la collaborazione delle altre funzioni, il Sistem</w:t>
      </w:r>
      <w:r>
        <w:rPr>
          <w:rFonts w:cs="Tahoma"/>
          <w:lang w:eastAsia="it-IT"/>
        </w:rPr>
        <w:t>a Qualità della società</w:t>
      </w:r>
      <w:r w:rsidRPr="00A85FAE">
        <w:rPr>
          <w:rFonts w:cs="Tahoma"/>
          <w:lang w:eastAsia="it-IT"/>
        </w:rPr>
        <w:t>.</w:t>
      </w:r>
    </w:p>
    <w:p w14:paraId="0E363B9B" w14:textId="7CB32401" w:rsidR="00A32E14" w:rsidRPr="00110CB4" w:rsidRDefault="00A32E14" w:rsidP="00A32E14">
      <w:pPr>
        <w:rPr>
          <w:rFonts w:cs="Tahoma"/>
          <w:lang w:eastAsia="it-IT"/>
        </w:rPr>
      </w:pPr>
      <w:r w:rsidRPr="00A85FAE">
        <w:rPr>
          <w:rFonts w:cs="Tahoma"/>
          <w:lang w:eastAsia="it-IT"/>
        </w:rPr>
        <w:t xml:space="preserve">Diffonde la Politica per la Qualità all’interno dell’azienda e fornisce alla Direzione Generale le informazioni necessarie per attuare piani di miglioramento </w:t>
      </w:r>
      <w:r w:rsidRPr="006C2B39">
        <w:rPr>
          <w:rFonts w:cs="Tahoma"/>
          <w:lang w:eastAsia="it-IT"/>
        </w:rPr>
        <w:t>continuo. Garantisce i requisiti qualitativi nella fase di produzione di serie e verifica con i fornitori il rispetto dei requisiti di qualità dei prodotti in entrata. Verifica il prodotto risultante dalle lavorazioni interne assicurandone la conformità prima della spedizione.</w:t>
      </w:r>
    </w:p>
    <w:p w14:paraId="519965B3" w14:textId="77777777" w:rsidR="00A32E14" w:rsidRPr="00A85FAE" w:rsidRDefault="00A32E14" w:rsidP="00A32E14">
      <w:pPr>
        <w:rPr>
          <w:rFonts w:cs="Tahoma"/>
          <w:u w:val="single"/>
          <w:lang w:eastAsia="it-IT"/>
        </w:rPr>
      </w:pPr>
      <w:r w:rsidRPr="00A85FAE">
        <w:rPr>
          <w:rFonts w:cs="Tahoma"/>
          <w:u w:val="single"/>
          <w:lang w:eastAsia="it-IT"/>
        </w:rPr>
        <w:t>PRODUZIONE</w:t>
      </w:r>
    </w:p>
    <w:p w14:paraId="04DF6D4E" w14:textId="77777777" w:rsidR="00A32E14" w:rsidRDefault="00A32E14" w:rsidP="00A32E14">
      <w:pPr>
        <w:rPr>
          <w:rFonts w:cs="Tahoma"/>
          <w:lang w:eastAsia="it-IT"/>
        </w:rPr>
      </w:pPr>
      <w:r w:rsidRPr="00A85FAE">
        <w:rPr>
          <w:rFonts w:cs="Tahoma"/>
          <w:lang w:eastAsia="it-IT"/>
        </w:rPr>
        <w:t xml:space="preserve">È la funzione che si occupa di attuare il processo produttivo assicurando lo svolgimento delle operazioni di </w:t>
      </w:r>
      <w:r>
        <w:rPr>
          <w:rFonts w:cs="Tahoma"/>
          <w:lang w:eastAsia="it-IT"/>
        </w:rPr>
        <w:t>assemblaggio/montaggio</w:t>
      </w:r>
      <w:r w:rsidRPr="00A85FAE">
        <w:rPr>
          <w:rFonts w:cs="Tahoma"/>
          <w:lang w:eastAsia="it-IT"/>
        </w:rPr>
        <w:t xml:space="preserve"> e controllo previste a ciclo attraverso l’uso di macchinari, impianti o tavoli di lavoro ed attraverso l’impiego di personale opportunamente addestrato, nel pieno rispetto degli standard (tempi e qualità) stabiliti.</w:t>
      </w:r>
    </w:p>
    <w:p w14:paraId="0A7104AF" w14:textId="77777777" w:rsidR="00A32E14" w:rsidRPr="00A85FAE" w:rsidRDefault="00A32E14" w:rsidP="00A32E14">
      <w:pPr>
        <w:rPr>
          <w:rFonts w:cs="Tahoma"/>
          <w:u w:val="single"/>
          <w:lang w:eastAsia="it-IT"/>
        </w:rPr>
      </w:pPr>
      <w:r w:rsidRPr="00A85FAE">
        <w:rPr>
          <w:rFonts w:cs="Tahoma"/>
          <w:u w:val="single"/>
          <w:lang w:eastAsia="it-IT"/>
        </w:rPr>
        <w:t>LOGISTICA</w:t>
      </w:r>
    </w:p>
    <w:p w14:paraId="2CCD5BA8" w14:textId="77777777" w:rsidR="00A32E14" w:rsidRPr="00A85FAE" w:rsidRDefault="00A32E14" w:rsidP="00A32E14">
      <w:pPr>
        <w:rPr>
          <w:rFonts w:cs="Tahoma"/>
          <w:lang w:eastAsia="it-IT"/>
        </w:rPr>
      </w:pPr>
      <w:r w:rsidRPr="00A85FAE">
        <w:rPr>
          <w:rFonts w:cs="Tahoma"/>
          <w:lang w:eastAsia="it-IT"/>
        </w:rPr>
        <w:t>È la funzione che si occupa di gestire i materiali ed i prodotti finiti e in particolare:</w:t>
      </w:r>
    </w:p>
    <w:p w14:paraId="5D420AB4" w14:textId="77777777" w:rsidR="00A32E14" w:rsidRPr="00A85FAE" w:rsidRDefault="00A32E14" w:rsidP="00110CB4">
      <w:pPr>
        <w:numPr>
          <w:ilvl w:val="0"/>
          <w:numId w:val="15"/>
        </w:numPr>
        <w:tabs>
          <w:tab w:val="clear" w:pos="420"/>
          <w:tab w:val="num" w:pos="851"/>
        </w:tabs>
        <w:spacing w:before="60" w:after="60"/>
        <w:ind w:left="851" w:hanging="357"/>
        <w:rPr>
          <w:rFonts w:cs="Tahoma"/>
          <w:lang w:eastAsia="it-IT"/>
        </w:rPr>
      </w:pPr>
      <w:proofErr w:type="gramStart"/>
      <w:r>
        <w:rPr>
          <w:rFonts w:cs="Tahoma"/>
          <w:lang w:eastAsia="it-IT"/>
        </w:rPr>
        <w:t>c</w:t>
      </w:r>
      <w:r w:rsidRPr="00A85FAE">
        <w:rPr>
          <w:rFonts w:cs="Tahoma"/>
          <w:lang w:eastAsia="it-IT"/>
        </w:rPr>
        <w:t>arica</w:t>
      </w:r>
      <w:proofErr w:type="gramEnd"/>
      <w:r w:rsidRPr="00A85FAE">
        <w:rPr>
          <w:rFonts w:cs="Tahoma"/>
          <w:lang w:eastAsia="it-IT"/>
        </w:rPr>
        <w:t xml:space="preserve"> a magazzino tutti i componenti ricevuti, registrando il relativo DDT</w:t>
      </w:r>
      <w:r>
        <w:rPr>
          <w:rFonts w:cs="Tahoma"/>
          <w:lang w:eastAsia="it-IT"/>
        </w:rPr>
        <w:t>;</w:t>
      </w:r>
    </w:p>
    <w:p w14:paraId="49A190F4" w14:textId="77777777" w:rsidR="00A32E14" w:rsidRPr="00A85FAE" w:rsidRDefault="00A32E14" w:rsidP="00110CB4">
      <w:pPr>
        <w:numPr>
          <w:ilvl w:val="0"/>
          <w:numId w:val="15"/>
        </w:numPr>
        <w:tabs>
          <w:tab w:val="clear" w:pos="420"/>
          <w:tab w:val="num" w:pos="851"/>
        </w:tabs>
        <w:spacing w:before="60" w:after="60"/>
        <w:ind w:left="851" w:hanging="357"/>
        <w:rPr>
          <w:rFonts w:cs="Tahoma"/>
          <w:lang w:eastAsia="it-IT"/>
        </w:rPr>
      </w:pPr>
      <w:proofErr w:type="gramStart"/>
      <w:r>
        <w:rPr>
          <w:rFonts w:cs="Tahoma"/>
          <w:lang w:eastAsia="it-IT"/>
        </w:rPr>
        <w:t>p</w:t>
      </w:r>
      <w:r w:rsidRPr="00A85FAE">
        <w:rPr>
          <w:rFonts w:cs="Tahoma"/>
          <w:lang w:eastAsia="it-IT"/>
        </w:rPr>
        <w:t>releva</w:t>
      </w:r>
      <w:proofErr w:type="gramEnd"/>
      <w:r w:rsidRPr="00A85FAE">
        <w:rPr>
          <w:rFonts w:cs="Tahoma"/>
          <w:lang w:eastAsia="it-IT"/>
        </w:rPr>
        <w:t xml:space="preserve"> da magazzino tutto il materiale necessario, in conformità alla distinta base ed al ciclo di produzione, al fine di realizzare le fasi di produzione</w:t>
      </w:r>
      <w:r>
        <w:rPr>
          <w:rFonts w:cs="Tahoma"/>
          <w:lang w:eastAsia="it-IT"/>
        </w:rPr>
        <w:t>;</w:t>
      </w:r>
    </w:p>
    <w:p w14:paraId="5642BA41" w14:textId="77777777" w:rsidR="00A32E14" w:rsidRPr="00A85FAE" w:rsidRDefault="00A32E14" w:rsidP="00110CB4">
      <w:pPr>
        <w:numPr>
          <w:ilvl w:val="0"/>
          <w:numId w:val="15"/>
        </w:numPr>
        <w:tabs>
          <w:tab w:val="clear" w:pos="420"/>
          <w:tab w:val="num" w:pos="851"/>
        </w:tabs>
        <w:spacing w:before="60" w:after="60"/>
        <w:ind w:left="851" w:hanging="357"/>
        <w:rPr>
          <w:rFonts w:cs="Tahoma"/>
          <w:lang w:eastAsia="it-IT"/>
        </w:rPr>
      </w:pPr>
      <w:proofErr w:type="gramStart"/>
      <w:r>
        <w:rPr>
          <w:rFonts w:cs="Tahoma"/>
          <w:lang w:eastAsia="it-IT"/>
        </w:rPr>
        <w:t>p</w:t>
      </w:r>
      <w:r w:rsidRPr="00A85FAE">
        <w:rPr>
          <w:rFonts w:cs="Tahoma"/>
          <w:lang w:eastAsia="it-IT"/>
        </w:rPr>
        <w:t>ianifica</w:t>
      </w:r>
      <w:proofErr w:type="gramEnd"/>
      <w:r w:rsidRPr="00A85FAE">
        <w:rPr>
          <w:rFonts w:cs="Tahoma"/>
          <w:lang w:eastAsia="it-IT"/>
        </w:rPr>
        <w:t xml:space="preserve"> le commesse di produzione, in accordo con le richieste del cliente e la disponibilità di materiali e mano d’opera</w:t>
      </w:r>
      <w:r>
        <w:rPr>
          <w:rFonts w:cs="Tahoma"/>
          <w:lang w:eastAsia="it-IT"/>
        </w:rPr>
        <w:t>;</w:t>
      </w:r>
    </w:p>
    <w:p w14:paraId="58F032BE" w14:textId="77777777" w:rsidR="00A32E14" w:rsidRPr="00A85FAE" w:rsidRDefault="00A32E14" w:rsidP="00110CB4">
      <w:pPr>
        <w:numPr>
          <w:ilvl w:val="0"/>
          <w:numId w:val="15"/>
        </w:numPr>
        <w:tabs>
          <w:tab w:val="clear" w:pos="420"/>
          <w:tab w:val="num" w:pos="851"/>
        </w:tabs>
        <w:spacing w:before="60" w:after="60"/>
        <w:ind w:left="851" w:hanging="357"/>
        <w:rPr>
          <w:rFonts w:cs="Tahoma"/>
          <w:lang w:eastAsia="it-IT"/>
        </w:rPr>
      </w:pPr>
      <w:proofErr w:type="gramStart"/>
      <w:r>
        <w:rPr>
          <w:rFonts w:cs="Tahoma"/>
          <w:lang w:eastAsia="it-IT"/>
        </w:rPr>
        <w:t>c</w:t>
      </w:r>
      <w:r w:rsidRPr="00A85FAE">
        <w:rPr>
          <w:rFonts w:cs="Tahoma"/>
          <w:lang w:eastAsia="it-IT"/>
        </w:rPr>
        <w:t>onsuntiva</w:t>
      </w:r>
      <w:proofErr w:type="gramEnd"/>
      <w:r w:rsidRPr="00A85FAE">
        <w:rPr>
          <w:rFonts w:cs="Tahoma"/>
          <w:lang w:eastAsia="it-IT"/>
        </w:rPr>
        <w:t xml:space="preserve"> le ore impiegate per ogni commessa di produzione</w:t>
      </w:r>
      <w:r>
        <w:rPr>
          <w:rFonts w:cs="Tahoma"/>
          <w:lang w:eastAsia="it-IT"/>
        </w:rPr>
        <w:t>;</w:t>
      </w:r>
    </w:p>
    <w:p w14:paraId="11D788C7" w14:textId="77777777" w:rsidR="00A32E14" w:rsidRPr="00A85FAE" w:rsidRDefault="00A32E14" w:rsidP="00110CB4">
      <w:pPr>
        <w:numPr>
          <w:ilvl w:val="0"/>
          <w:numId w:val="15"/>
        </w:numPr>
        <w:tabs>
          <w:tab w:val="clear" w:pos="420"/>
          <w:tab w:val="num" w:pos="851"/>
        </w:tabs>
        <w:spacing w:before="60" w:after="60"/>
        <w:ind w:left="851" w:hanging="357"/>
        <w:rPr>
          <w:rFonts w:cs="Tahoma"/>
          <w:lang w:eastAsia="it-IT"/>
        </w:rPr>
      </w:pPr>
      <w:proofErr w:type="gramStart"/>
      <w:r>
        <w:rPr>
          <w:rFonts w:cs="Tahoma"/>
          <w:lang w:eastAsia="it-IT"/>
        </w:rPr>
        <w:t>g</w:t>
      </w:r>
      <w:r w:rsidRPr="00A85FAE">
        <w:rPr>
          <w:rFonts w:cs="Tahoma"/>
          <w:lang w:eastAsia="it-IT"/>
        </w:rPr>
        <w:t>estisce</w:t>
      </w:r>
      <w:proofErr w:type="gramEnd"/>
      <w:r w:rsidRPr="00A85FAE">
        <w:rPr>
          <w:rFonts w:cs="Tahoma"/>
          <w:lang w:eastAsia="it-IT"/>
        </w:rPr>
        <w:t xml:space="preserve"> il magazzino prodotti finiti</w:t>
      </w:r>
      <w:r>
        <w:rPr>
          <w:rFonts w:cs="Tahoma"/>
          <w:lang w:eastAsia="it-IT"/>
        </w:rPr>
        <w:t>;</w:t>
      </w:r>
    </w:p>
    <w:p w14:paraId="14A70766" w14:textId="77777777" w:rsidR="00A32E14" w:rsidRDefault="00A32E14" w:rsidP="00110CB4">
      <w:pPr>
        <w:numPr>
          <w:ilvl w:val="0"/>
          <w:numId w:val="15"/>
        </w:numPr>
        <w:tabs>
          <w:tab w:val="clear" w:pos="420"/>
          <w:tab w:val="num" w:pos="851"/>
        </w:tabs>
        <w:spacing w:before="60" w:after="60"/>
        <w:ind w:left="851" w:hanging="357"/>
        <w:rPr>
          <w:rFonts w:cs="Tahoma"/>
          <w:lang w:eastAsia="it-IT"/>
        </w:rPr>
      </w:pPr>
      <w:proofErr w:type="gramStart"/>
      <w:r>
        <w:rPr>
          <w:rFonts w:cs="Tahoma"/>
          <w:lang w:eastAsia="it-IT"/>
        </w:rPr>
        <w:t>p</w:t>
      </w:r>
      <w:r w:rsidRPr="00A85FAE">
        <w:rPr>
          <w:rFonts w:cs="Tahoma"/>
          <w:lang w:eastAsia="it-IT"/>
        </w:rPr>
        <w:t>rovvede</w:t>
      </w:r>
      <w:proofErr w:type="gramEnd"/>
      <w:r w:rsidRPr="00A85FAE">
        <w:rPr>
          <w:rFonts w:cs="Tahoma"/>
          <w:lang w:eastAsia="it-IT"/>
        </w:rPr>
        <w:t xml:space="preserve"> alla bollettazione (DDT) ed alla fatturazione dei </w:t>
      </w:r>
      <w:r>
        <w:rPr>
          <w:rFonts w:cs="Tahoma"/>
          <w:lang w:eastAsia="it-IT"/>
        </w:rPr>
        <w:t xml:space="preserve">servizi effettuati in conto lavorazione e/o dei </w:t>
      </w:r>
      <w:r w:rsidRPr="00A85FAE">
        <w:rPr>
          <w:rFonts w:cs="Tahoma"/>
          <w:lang w:eastAsia="it-IT"/>
        </w:rPr>
        <w:t>prodotti fi</w:t>
      </w:r>
      <w:r>
        <w:rPr>
          <w:rFonts w:cs="Tahoma"/>
          <w:lang w:eastAsia="it-IT"/>
        </w:rPr>
        <w:t>niti realizzati e ceduti direttamente ai clienti finali.</w:t>
      </w:r>
    </w:p>
    <w:p w14:paraId="20B6CDEF" w14:textId="511CBA04" w:rsidR="00A32E14" w:rsidRDefault="00110CB4" w:rsidP="00110CB4">
      <w:pPr>
        <w:pStyle w:val="Titolo3"/>
        <w:numPr>
          <w:ilvl w:val="2"/>
          <w:numId w:val="5"/>
        </w:numPr>
      </w:pPr>
      <w:bookmarkStart w:id="50" w:name="_Toc25674101"/>
      <w:proofErr w:type="spellStart"/>
      <w:r>
        <w:t>Viney</w:t>
      </w:r>
      <w:proofErr w:type="spellEnd"/>
      <w:r>
        <w:t xml:space="preserve"> Corporation Ltd</w:t>
      </w:r>
      <w:bookmarkEnd w:id="50"/>
    </w:p>
    <w:p w14:paraId="6ED7389F" w14:textId="77777777" w:rsidR="00110CB4" w:rsidRPr="00A85FAE" w:rsidRDefault="00110CB4" w:rsidP="00110CB4">
      <w:pPr>
        <w:rPr>
          <w:rFonts w:cs="Tahoma"/>
          <w:u w:val="single"/>
          <w:lang w:eastAsia="it-IT"/>
        </w:rPr>
      </w:pPr>
      <w:r w:rsidRPr="00A85FAE">
        <w:rPr>
          <w:rFonts w:cs="Tahoma"/>
          <w:u w:val="single"/>
          <w:lang w:eastAsia="it-IT"/>
        </w:rPr>
        <w:t>DIREZIONE GENERALE</w:t>
      </w:r>
    </w:p>
    <w:p w14:paraId="51A42525" w14:textId="77777777" w:rsidR="00110CB4" w:rsidRPr="00A85FAE" w:rsidRDefault="00110CB4" w:rsidP="00110CB4">
      <w:pPr>
        <w:rPr>
          <w:rFonts w:cs="Tahoma"/>
          <w:lang w:eastAsia="it-IT"/>
        </w:rPr>
      </w:pPr>
      <w:r>
        <w:rPr>
          <w:rFonts w:cs="Tahoma"/>
          <w:lang w:eastAsia="it-IT"/>
        </w:rPr>
        <w:t xml:space="preserve">La Direzione Generale supervisiona e coordina l’andamento della gestione del gruppo, definendo con la subholding italiana Vimercati le linee di indirizzo strategico da implementare, gli obiettivi </w:t>
      </w:r>
      <w:r>
        <w:rPr>
          <w:rFonts w:cs="Tahoma"/>
          <w:lang w:eastAsia="it-IT"/>
        </w:rPr>
        <w:lastRenderedPageBreak/>
        <w:t>economico-finanziari da conseguire a livello di gruppo nonché le eventuali azioni correttive da porre in essere qualora vi siano elementi o fattori che inficino i risultati di gestione.</w:t>
      </w:r>
    </w:p>
    <w:p w14:paraId="2131E02C" w14:textId="77777777" w:rsidR="00110CB4" w:rsidRPr="00A85FAE" w:rsidRDefault="00110CB4" w:rsidP="00110CB4">
      <w:pPr>
        <w:rPr>
          <w:rFonts w:cs="Tahoma"/>
          <w:u w:val="single"/>
          <w:lang w:eastAsia="it-IT"/>
        </w:rPr>
      </w:pPr>
      <w:r w:rsidRPr="00A85FAE">
        <w:rPr>
          <w:rFonts w:cs="Tahoma"/>
          <w:u w:val="single"/>
          <w:lang w:eastAsia="it-IT"/>
        </w:rPr>
        <w:t>PRODUZIONE</w:t>
      </w:r>
    </w:p>
    <w:p w14:paraId="1171C8C3" w14:textId="77777777" w:rsidR="00110CB4" w:rsidRDefault="00110CB4" w:rsidP="00110CB4">
      <w:pPr>
        <w:rPr>
          <w:rFonts w:cs="Tahoma"/>
          <w:lang w:eastAsia="it-IT"/>
        </w:rPr>
      </w:pPr>
      <w:r>
        <w:rPr>
          <w:rFonts w:cs="Tahoma"/>
          <w:lang w:eastAsia="it-IT"/>
        </w:rPr>
        <w:t xml:space="preserve">Essendo un produttore verticalmente integrato di componentistica, </w:t>
      </w:r>
      <w:proofErr w:type="spellStart"/>
      <w:r>
        <w:rPr>
          <w:rFonts w:cs="Tahoma"/>
          <w:lang w:eastAsia="it-IT"/>
        </w:rPr>
        <w:t>Viney</w:t>
      </w:r>
      <w:proofErr w:type="spellEnd"/>
      <w:r>
        <w:rPr>
          <w:rFonts w:cs="Tahoma"/>
          <w:lang w:eastAsia="it-IT"/>
        </w:rPr>
        <w:t xml:space="preserve"> cura l’intero processo di ideazione, ricerca e sviluppo e realizzazione dei componenti/prodotti finiti ceduti a soggetti terzi ovvero alle società del Gruppo (Vimercati). </w:t>
      </w:r>
    </w:p>
    <w:p w14:paraId="552F8CF9" w14:textId="77777777" w:rsidR="00110CB4" w:rsidRPr="00A85FAE" w:rsidRDefault="00110CB4" w:rsidP="00110CB4">
      <w:pPr>
        <w:rPr>
          <w:rFonts w:cs="Tahoma"/>
          <w:u w:val="single"/>
          <w:lang w:eastAsia="it-IT"/>
        </w:rPr>
      </w:pPr>
      <w:r w:rsidRPr="00A85FAE">
        <w:rPr>
          <w:rFonts w:cs="Tahoma"/>
          <w:u w:val="single"/>
          <w:lang w:eastAsia="it-IT"/>
        </w:rPr>
        <w:t>LOGISTICA</w:t>
      </w:r>
    </w:p>
    <w:p w14:paraId="1C4005C6" w14:textId="77777777" w:rsidR="00110CB4" w:rsidRDefault="00110CB4" w:rsidP="00110CB4">
      <w:pPr>
        <w:spacing w:after="60"/>
        <w:rPr>
          <w:rFonts w:cs="Tahoma"/>
          <w:lang w:eastAsia="it-IT"/>
        </w:rPr>
      </w:pPr>
      <w:r>
        <w:rPr>
          <w:rFonts w:cs="Tahoma"/>
          <w:lang w:eastAsia="it-IT"/>
        </w:rPr>
        <w:t>Tale funzione</w:t>
      </w:r>
      <w:r w:rsidRPr="00A85FAE">
        <w:rPr>
          <w:rFonts w:cs="Tahoma"/>
          <w:lang w:eastAsia="it-IT"/>
        </w:rPr>
        <w:t xml:space="preserve"> si occupa</w:t>
      </w:r>
      <w:r>
        <w:rPr>
          <w:rFonts w:cs="Tahoma"/>
          <w:lang w:eastAsia="it-IT"/>
        </w:rPr>
        <w:t>:</w:t>
      </w:r>
    </w:p>
    <w:p w14:paraId="5F2A442F" w14:textId="77777777" w:rsidR="00110CB4" w:rsidRDefault="00110CB4" w:rsidP="00110CB4">
      <w:pPr>
        <w:numPr>
          <w:ilvl w:val="0"/>
          <w:numId w:val="15"/>
        </w:numPr>
        <w:tabs>
          <w:tab w:val="clear" w:pos="420"/>
          <w:tab w:val="num" w:pos="851"/>
        </w:tabs>
        <w:spacing w:before="60" w:after="60"/>
        <w:ind w:left="850" w:hanging="357"/>
        <w:rPr>
          <w:rFonts w:cs="Tahoma"/>
          <w:lang w:eastAsia="it-IT"/>
        </w:rPr>
      </w:pPr>
      <w:proofErr w:type="gramStart"/>
      <w:r w:rsidRPr="00A85FAE">
        <w:rPr>
          <w:rFonts w:cs="Tahoma"/>
          <w:lang w:eastAsia="it-IT"/>
        </w:rPr>
        <w:t>di</w:t>
      </w:r>
      <w:proofErr w:type="gramEnd"/>
      <w:r w:rsidRPr="00A85FAE">
        <w:rPr>
          <w:rFonts w:cs="Tahoma"/>
          <w:lang w:eastAsia="it-IT"/>
        </w:rPr>
        <w:t xml:space="preserve"> gestire </w:t>
      </w:r>
      <w:r>
        <w:rPr>
          <w:rFonts w:cs="Tahoma"/>
          <w:lang w:eastAsia="it-IT"/>
        </w:rPr>
        <w:t>i processi relativi all’approvvigionamento delle materie prime necessarie per la realizzazione dei componenti ceduti all’interno del Gruppo;</w:t>
      </w:r>
    </w:p>
    <w:p w14:paraId="7386B54F" w14:textId="77777777" w:rsidR="00110CB4" w:rsidRPr="00A85FAE" w:rsidRDefault="00110CB4" w:rsidP="00110CB4">
      <w:pPr>
        <w:numPr>
          <w:ilvl w:val="0"/>
          <w:numId w:val="15"/>
        </w:numPr>
        <w:tabs>
          <w:tab w:val="clear" w:pos="420"/>
          <w:tab w:val="num" w:pos="851"/>
        </w:tabs>
        <w:spacing w:before="60" w:after="60"/>
        <w:ind w:left="850" w:hanging="357"/>
        <w:rPr>
          <w:rFonts w:cs="Tahoma"/>
          <w:lang w:eastAsia="it-IT"/>
        </w:rPr>
      </w:pPr>
      <w:proofErr w:type="gramStart"/>
      <w:r>
        <w:rPr>
          <w:rFonts w:cs="Tahoma"/>
          <w:lang w:eastAsia="it-IT"/>
        </w:rPr>
        <w:t>di</w:t>
      </w:r>
      <w:proofErr w:type="gramEnd"/>
      <w:r>
        <w:rPr>
          <w:rFonts w:cs="Tahoma"/>
          <w:lang w:eastAsia="it-IT"/>
        </w:rPr>
        <w:t xml:space="preserve"> curare le attività di spedizione delle componenti realizzate ed oggetto di cessione all’interno del Gruppo. </w:t>
      </w:r>
    </w:p>
    <w:p w14:paraId="691A6DE3" w14:textId="0DFB5955" w:rsidR="00110CB4" w:rsidRDefault="00110CB4" w:rsidP="00110CB4">
      <w:pPr>
        <w:pStyle w:val="Titolo2"/>
        <w:numPr>
          <w:ilvl w:val="1"/>
          <w:numId w:val="5"/>
        </w:numPr>
      </w:pPr>
      <w:bookmarkStart w:id="51" w:name="_Toc25674102"/>
      <w:r>
        <w:t>Rischi assunti</w:t>
      </w:r>
      <w:bookmarkEnd w:id="51"/>
    </w:p>
    <w:p w14:paraId="054C6B4E" w14:textId="77777777" w:rsidR="00110CB4" w:rsidRDefault="00110CB4" w:rsidP="00110CB4">
      <w:pPr>
        <w:rPr>
          <w:rFonts w:cs="Tahoma"/>
        </w:rPr>
      </w:pPr>
      <w:r w:rsidRPr="009857FA">
        <w:rPr>
          <w:rFonts w:cs="Tahoma"/>
        </w:rPr>
        <w:t>La gestione del rischio, intesa come un insieme di processi e attività che permette di identificare,</w:t>
      </w:r>
      <w:r>
        <w:rPr>
          <w:rFonts w:cs="Tahoma"/>
        </w:rPr>
        <w:t xml:space="preserve"> </w:t>
      </w:r>
      <w:r w:rsidRPr="009857FA">
        <w:rPr>
          <w:rFonts w:cs="Tahoma"/>
        </w:rPr>
        <w:t>analizzare e valutare i rischi associati all’attività, è in capo ad ogni singola</w:t>
      </w:r>
      <w:r>
        <w:rPr>
          <w:rFonts w:cs="Tahoma"/>
        </w:rPr>
        <w:t xml:space="preserve"> società appartenente al Gruppo</w:t>
      </w:r>
      <w:r w:rsidRPr="009857FA">
        <w:rPr>
          <w:rFonts w:cs="Tahoma"/>
        </w:rPr>
        <w:t>.</w:t>
      </w:r>
    </w:p>
    <w:p w14:paraId="7CCCBF4E" w14:textId="3CA35391" w:rsidR="00110CB4" w:rsidRPr="0008262B" w:rsidRDefault="00110CB4" w:rsidP="00110CB4">
      <w:pPr>
        <w:rPr>
          <w:rFonts w:cs="Tahoma"/>
        </w:rPr>
      </w:pPr>
      <w:r w:rsidRPr="002C6C6C">
        <w:rPr>
          <w:rFonts w:cs="Tahoma"/>
        </w:rPr>
        <w:t xml:space="preserve">Si riporta di seguito una sintesi </w:t>
      </w:r>
      <w:r>
        <w:rPr>
          <w:rFonts w:cs="Tahoma"/>
        </w:rPr>
        <w:t xml:space="preserve">dei principali rischi assunti </w:t>
      </w:r>
      <w:r w:rsidRPr="002C6C6C">
        <w:rPr>
          <w:rFonts w:cs="Tahoma"/>
        </w:rPr>
        <w:t xml:space="preserve">da ciascuna società del Gruppo nell’ambito delle operazioni infragruppo </w:t>
      </w:r>
      <w:r>
        <w:rPr>
          <w:rFonts w:cs="Tahoma"/>
        </w:rPr>
        <w:t>intercorse:</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64"/>
        <w:gridCol w:w="1413"/>
      </w:tblGrid>
      <w:tr w:rsidR="00110CB4" w14:paraId="3A3F0B9D" w14:textId="77777777" w:rsidTr="00110CB4">
        <w:trPr>
          <w:jc w:val="center"/>
        </w:trPr>
        <w:tc>
          <w:tcPr>
            <w:tcW w:w="2268" w:type="dxa"/>
            <w:shd w:val="clear" w:color="auto" w:fill="00338D"/>
          </w:tcPr>
          <w:p w14:paraId="55D417F5" w14:textId="55342C70" w:rsidR="00110CB4" w:rsidRPr="00110CB4" w:rsidRDefault="00110CB4" w:rsidP="00110CB4">
            <w:pPr>
              <w:pStyle w:val="Nessunaspaziatura"/>
              <w:rPr>
                <w:b/>
                <w:color w:val="FFFFFF" w:themeColor="background1"/>
              </w:rPr>
            </w:pPr>
            <w:r w:rsidRPr="00110CB4">
              <w:rPr>
                <w:b/>
                <w:color w:val="FFFFFF" w:themeColor="background1"/>
              </w:rPr>
              <w:br w:type="column"/>
            </w:r>
            <w:r w:rsidRPr="00110CB4">
              <w:rPr>
                <w:b/>
                <w:color w:val="FFFFFF" w:themeColor="background1"/>
              </w:rPr>
              <w:br w:type="column"/>
            </w:r>
            <w:r w:rsidRPr="00110CB4">
              <w:rPr>
                <w:b/>
                <w:color w:val="FFFFFF" w:themeColor="background1"/>
              </w:rPr>
              <w:br w:type="column"/>
            </w:r>
            <w:r w:rsidRPr="00110CB4">
              <w:rPr>
                <w:b/>
                <w:color w:val="FFFFFF" w:themeColor="background1"/>
              </w:rPr>
              <w:br w:type="column"/>
            </w:r>
            <w:r w:rsidRPr="00110CB4">
              <w:rPr>
                <w:b/>
                <w:color w:val="FFFFFF" w:themeColor="background1"/>
              </w:rPr>
              <w:br w:type="column"/>
            </w:r>
            <w:r w:rsidRPr="00110CB4">
              <w:rPr>
                <w:b/>
                <w:color w:val="FFFFFF" w:themeColor="background1"/>
              </w:rPr>
              <w:br w:type="column"/>
            </w:r>
            <w:r>
              <w:rPr>
                <w:b/>
                <w:color w:val="FFFFFF" w:themeColor="background1"/>
              </w:rPr>
              <w:t>Rischi</w:t>
            </w:r>
          </w:p>
        </w:tc>
        <w:tc>
          <w:tcPr>
            <w:tcW w:w="1418" w:type="dxa"/>
            <w:shd w:val="clear" w:color="auto" w:fill="00338D"/>
          </w:tcPr>
          <w:p w14:paraId="44A7FF53" w14:textId="77777777" w:rsidR="00110CB4" w:rsidRPr="00110CB4" w:rsidRDefault="00110CB4" w:rsidP="00110CB4">
            <w:pPr>
              <w:pStyle w:val="Nessunaspaziatura"/>
              <w:rPr>
                <w:b/>
                <w:color w:val="FFFFFF" w:themeColor="background1"/>
              </w:rPr>
            </w:pPr>
            <w:r w:rsidRPr="00110CB4">
              <w:rPr>
                <w:b/>
                <w:color w:val="FFFFFF" w:themeColor="background1"/>
              </w:rPr>
              <w:t xml:space="preserve">Vimercati </w:t>
            </w:r>
          </w:p>
        </w:tc>
        <w:tc>
          <w:tcPr>
            <w:tcW w:w="1564" w:type="dxa"/>
            <w:shd w:val="clear" w:color="auto" w:fill="00338D"/>
          </w:tcPr>
          <w:p w14:paraId="7BFAED83" w14:textId="77777777" w:rsidR="00110CB4" w:rsidRPr="00110CB4" w:rsidRDefault="00110CB4" w:rsidP="00110CB4">
            <w:pPr>
              <w:pStyle w:val="Nessunaspaziatura"/>
              <w:rPr>
                <w:b/>
                <w:color w:val="FFFFFF" w:themeColor="background1"/>
              </w:rPr>
            </w:pPr>
            <w:r w:rsidRPr="00110CB4">
              <w:rPr>
                <w:b/>
                <w:color w:val="FFFFFF" w:themeColor="background1"/>
              </w:rPr>
              <w:t>VEE</w:t>
            </w:r>
          </w:p>
        </w:tc>
        <w:tc>
          <w:tcPr>
            <w:tcW w:w="1413" w:type="dxa"/>
            <w:shd w:val="clear" w:color="auto" w:fill="00338D"/>
          </w:tcPr>
          <w:p w14:paraId="6476BD0A" w14:textId="77777777" w:rsidR="00110CB4" w:rsidRPr="00110CB4" w:rsidRDefault="00110CB4" w:rsidP="00110CB4">
            <w:pPr>
              <w:pStyle w:val="Nessunaspaziatura"/>
              <w:rPr>
                <w:b/>
                <w:color w:val="FFFFFF" w:themeColor="background1"/>
              </w:rPr>
            </w:pPr>
            <w:proofErr w:type="spellStart"/>
            <w:r w:rsidRPr="00110CB4">
              <w:rPr>
                <w:b/>
                <w:color w:val="FFFFFF" w:themeColor="background1"/>
              </w:rPr>
              <w:t>Viney</w:t>
            </w:r>
            <w:proofErr w:type="spellEnd"/>
          </w:p>
        </w:tc>
      </w:tr>
      <w:tr w:rsidR="00110CB4" w14:paraId="777BFDAF" w14:textId="77777777" w:rsidTr="00110CB4">
        <w:trPr>
          <w:trHeight w:val="283"/>
          <w:jc w:val="center"/>
        </w:trPr>
        <w:tc>
          <w:tcPr>
            <w:tcW w:w="2268" w:type="dxa"/>
            <w:shd w:val="clear" w:color="auto" w:fill="auto"/>
          </w:tcPr>
          <w:p w14:paraId="1FAD5DDA" w14:textId="77777777" w:rsidR="00110CB4" w:rsidRPr="00110CB4" w:rsidRDefault="00110CB4" w:rsidP="00110CB4">
            <w:pPr>
              <w:pStyle w:val="Nessunaspaziatura"/>
              <w:rPr>
                <w:b/>
                <w:i/>
              </w:rPr>
            </w:pPr>
            <w:r w:rsidRPr="00110CB4">
              <w:rPr>
                <w:b/>
                <w:i/>
              </w:rPr>
              <w:t>Rischio di mercato</w:t>
            </w:r>
          </w:p>
        </w:tc>
        <w:tc>
          <w:tcPr>
            <w:tcW w:w="1418" w:type="dxa"/>
            <w:shd w:val="clear" w:color="auto" w:fill="auto"/>
          </w:tcPr>
          <w:p w14:paraId="58F6498A" w14:textId="77777777" w:rsidR="00110CB4" w:rsidRPr="00110CB4" w:rsidRDefault="00110CB4" w:rsidP="00110CB4">
            <w:pPr>
              <w:pStyle w:val="Nessunaspaziatura"/>
              <w:jc w:val="center"/>
            </w:pPr>
            <w:r w:rsidRPr="00110CB4">
              <w:t>X</w:t>
            </w:r>
          </w:p>
        </w:tc>
        <w:tc>
          <w:tcPr>
            <w:tcW w:w="1564" w:type="dxa"/>
            <w:shd w:val="clear" w:color="auto" w:fill="auto"/>
          </w:tcPr>
          <w:p w14:paraId="7B7008B3" w14:textId="77777777" w:rsidR="00110CB4" w:rsidRPr="00110CB4" w:rsidRDefault="00110CB4" w:rsidP="00110CB4">
            <w:pPr>
              <w:pStyle w:val="Nessunaspaziatura"/>
              <w:jc w:val="center"/>
            </w:pPr>
          </w:p>
        </w:tc>
        <w:tc>
          <w:tcPr>
            <w:tcW w:w="1413" w:type="dxa"/>
          </w:tcPr>
          <w:p w14:paraId="140AA581" w14:textId="77777777" w:rsidR="00110CB4" w:rsidRPr="00110CB4" w:rsidRDefault="00110CB4" w:rsidP="00110CB4">
            <w:pPr>
              <w:pStyle w:val="Nessunaspaziatura"/>
              <w:jc w:val="center"/>
            </w:pPr>
            <w:r w:rsidRPr="00110CB4">
              <w:t>X</w:t>
            </w:r>
          </w:p>
        </w:tc>
      </w:tr>
      <w:tr w:rsidR="00110CB4" w14:paraId="7D8AD71E" w14:textId="77777777" w:rsidTr="00110CB4">
        <w:trPr>
          <w:trHeight w:val="283"/>
          <w:jc w:val="center"/>
        </w:trPr>
        <w:tc>
          <w:tcPr>
            <w:tcW w:w="2268" w:type="dxa"/>
            <w:shd w:val="clear" w:color="auto" w:fill="auto"/>
          </w:tcPr>
          <w:p w14:paraId="6AC008C6" w14:textId="77777777" w:rsidR="00110CB4" w:rsidRPr="00110CB4" w:rsidRDefault="00110CB4" w:rsidP="00110CB4">
            <w:pPr>
              <w:pStyle w:val="Nessunaspaziatura"/>
              <w:rPr>
                <w:b/>
                <w:i/>
              </w:rPr>
            </w:pPr>
            <w:r w:rsidRPr="00110CB4">
              <w:rPr>
                <w:b/>
                <w:i/>
              </w:rPr>
              <w:t>Rischio di magazzino</w:t>
            </w:r>
          </w:p>
        </w:tc>
        <w:tc>
          <w:tcPr>
            <w:tcW w:w="1418" w:type="dxa"/>
            <w:shd w:val="clear" w:color="auto" w:fill="auto"/>
          </w:tcPr>
          <w:p w14:paraId="641D8AD7" w14:textId="77777777" w:rsidR="00110CB4" w:rsidRPr="00110CB4" w:rsidRDefault="00110CB4" w:rsidP="00110CB4">
            <w:pPr>
              <w:pStyle w:val="Nessunaspaziatura"/>
              <w:jc w:val="center"/>
            </w:pPr>
            <w:r w:rsidRPr="00110CB4">
              <w:t>X</w:t>
            </w:r>
          </w:p>
        </w:tc>
        <w:tc>
          <w:tcPr>
            <w:tcW w:w="1564" w:type="dxa"/>
            <w:shd w:val="clear" w:color="auto" w:fill="auto"/>
          </w:tcPr>
          <w:p w14:paraId="5C643E0F" w14:textId="77777777" w:rsidR="00110CB4" w:rsidRPr="00110CB4" w:rsidRDefault="00110CB4" w:rsidP="00110CB4">
            <w:pPr>
              <w:pStyle w:val="Nessunaspaziatura"/>
              <w:jc w:val="center"/>
            </w:pPr>
            <w:r w:rsidRPr="00110CB4">
              <w:t>X</w:t>
            </w:r>
          </w:p>
        </w:tc>
        <w:tc>
          <w:tcPr>
            <w:tcW w:w="1413" w:type="dxa"/>
          </w:tcPr>
          <w:p w14:paraId="0CADAB21" w14:textId="77777777" w:rsidR="00110CB4" w:rsidRPr="00110CB4" w:rsidRDefault="00110CB4" w:rsidP="00110CB4">
            <w:pPr>
              <w:pStyle w:val="Nessunaspaziatura"/>
              <w:jc w:val="center"/>
            </w:pPr>
            <w:r w:rsidRPr="00110CB4">
              <w:t>X</w:t>
            </w:r>
          </w:p>
        </w:tc>
      </w:tr>
      <w:tr w:rsidR="00110CB4" w14:paraId="2DC09F15" w14:textId="77777777" w:rsidTr="00110CB4">
        <w:trPr>
          <w:trHeight w:val="283"/>
          <w:jc w:val="center"/>
        </w:trPr>
        <w:tc>
          <w:tcPr>
            <w:tcW w:w="2268" w:type="dxa"/>
            <w:shd w:val="clear" w:color="auto" w:fill="auto"/>
          </w:tcPr>
          <w:p w14:paraId="526B9AB3" w14:textId="77777777" w:rsidR="00110CB4" w:rsidRPr="00110CB4" w:rsidRDefault="00110CB4" w:rsidP="00110CB4">
            <w:pPr>
              <w:pStyle w:val="Nessunaspaziatura"/>
              <w:rPr>
                <w:b/>
                <w:i/>
              </w:rPr>
            </w:pPr>
            <w:r w:rsidRPr="00110CB4">
              <w:rPr>
                <w:b/>
                <w:i/>
              </w:rPr>
              <w:t>Rischio di credito</w:t>
            </w:r>
          </w:p>
        </w:tc>
        <w:tc>
          <w:tcPr>
            <w:tcW w:w="1418" w:type="dxa"/>
            <w:shd w:val="clear" w:color="auto" w:fill="auto"/>
          </w:tcPr>
          <w:p w14:paraId="051AA829" w14:textId="77777777" w:rsidR="00110CB4" w:rsidRPr="00110CB4" w:rsidRDefault="00110CB4" w:rsidP="00110CB4">
            <w:pPr>
              <w:pStyle w:val="Nessunaspaziatura"/>
              <w:jc w:val="center"/>
            </w:pPr>
            <w:r w:rsidRPr="00110CB4">
              <w:t>X</w:t>
            </w:r>
          </w:p>
        </w:tc>
        <w:tc>
          <w:tcPr>
            <w:tcW w:w="1564" w:type="dxa"/>
            <w:shd w:val="clear" w:color="auto" w:fill="auto"/>
          </w:tcPr>
          <w:p w14:paraId="6AB1EC48" w14:textId="530D663E" w:rsidR="00110CB4" w:rsidRPr="00110CB4" w:rsidRDefault="00110CB4" w:rsidP="00110CB4">
            <w:pPr>
              <w:pStyle w:val="Nessunaspaziatura"/>
              <w:jc w:val="center"/>
            </w:pPr>
            <w:r w:rsidRPr="00110CB4">
              <w:t>X</w:t>
            </w:r>
          </w:p>
        </w:tc>
        <w:tc>
          <w:tcPr>
            <w:tcW w:w="1413" w:type="dxa"/>
          </w:tcPr>
          <w:p w14:paraId="46C2799F" w14:textId="77777777" w:rsidR="00110CB4" w:rsidRPr="00110CB4" w:rsidRDefault="00110CB4" w:rsidP="00110CB4">
            <w:pPr>
              <w:pStyle w:val="Nessunaspaziatura"/>
              <w:jc w:val="center"/>
            </w:pPr>
          </w:p>
        </w:tc>
      </w:tr>
      <w:tr w:rsidR="00110CB4" w14:paraId="04014CFA" w14:textId="77777777" w:rsidTr="00110CB4">
        <w:trPr>
          <w:trHeight w:val="283"/>
          <w:jc w:val="center"/>
        </w:trPr>
        <w:tc>
          <w:tcPr>
            <w:tcW w:w="2268" w:type="dxa"/>
            <w:shd w:val="clear" w:color="auto" w:fill="auto"/>
          </w:tcPr>
          <w:p w14:paraId="51A3A5B2" w14:textId="77777777" w:rsidR="00110CB4" w:rsidRPr="00110CB4" w:rsidRDefault="00110CB4" w:rsidP="00110CB4">
            <w:pPr>
              <w:pStyle w:val="Nessunaspaziatura"/>
              <w:rPr>
                <w:b/>
                <w:i/>
              </w:rPr>
            </w:pPr>
            <w:r w:rsidRPr="00110CB4">
              <w:rPr>
                <w:b/>
                <w:i/>
              </w:rPr>
              <w:t>Rischio di cambio</w:t>
            </w:r>
          </w:p>
        </w:tc>
        <w:tc>
          <w:tcPr>
            <w:tcW w:w="1418" w:type="dxa"/>
            <w:shd w:val="clear" w:color="auto" w:fill="auto"/>
          </w:tcPr>
          <w:p w14:paraId="0E1878EE" w14:textId="77777777" w:rsidR="00110CB4" w:rsidRPr="00110CB4" w:rsidRDefault="00110CB4" w:rsidP="00110CB4">
            <w:pPr>
              <w:pStyle w:val="Nessunaspaziatura"/>
              <w:jc w:val="center"/>
            </w:pPr>
          </w:p>
        </w:tc>
        <w:tc>
          <w:tcPr>
            <w:tcW w:w="1564" w:type="dxa"/>
            <w:shd w:val="clear" w:color="auto" w:fill="auto"/>
          </w:tcPr>
          <w:p w14:paraId="5BE3FF14" w14:textId="77777777" w:rsidR="00110CB4" w:rsidRPr="00110CB4" w:rsidRDefault="00110CB4" w:rsidP="00110CB4">
            <w:pPr>
              <w:pStyle w:val="Nessunaspaziatura"/>
              <w:jc w:val="center"/>
            </w:pPr>
            <w:r w:rsidRPr="00110CB4">
              <w:t>X</w:t>
            </w:r>
          </w:p>
        </w:tc>
        <w:tc>
          <w:tcPr>
            <w:tcW w:w="1413" w:type="dxa"/>
          </w:tcPr>
          <w:p w14:paraId="54BD7A15" w14:textId="77777777" w:rsidR="00110CB4" w:rsidRPr="00110CB4" w:rsidRDefault="00110CB4" w:rsidP="00110CB4">
            <w:pPr>
              <w:pStyle w:val="Nessunaspaziatura"/>
              <w:jc w:val="center"/>
            </w:pPr>
            <w:r w:rsidRPr="00110CB4">
              <w:t>X</w:t>
            </w:r>
          </w:p>
        </w:tc>
      </w:tr>
    </w:tbl>
    <w:p w14:paraId="3C0A4AA7" w14:textId="77777777" w:rsidR="00110CB4" w:rsidRDefault="00110CB4" w:rsidP="00110CB4">
      <w:pPr>
        <w:autoSpaceDE w:val="0"/>
        <w:autoSpaceDN w:val="0"/>
        <w:adjustRightInd w:val="0"/>
        <w:rPr>
          <w:rFonts w:cs="Tahoma"/>
        </w:rPr>
      </w:pPr>
      <w:r>
        <w:rPr>
          <w:rFonts w:cs="Tahoma"/>
        </w:rPr>
        <w:t>Vimercati sopporta la generalità dei rischi, ed in particolare il rischio di mercato e il rischio di credito nei confronti della clientela.</w:t>
      </w:r>
    </w:p>
    <w:p w14:paraId="71DEC6C6" w14:textId="3433F4EE" w:rsidR="00110CB4" w:rsidRDefault="00060486" w:rsidP="00110CB4">
      <w:pPr>
        <w:autoSpaceDE w:val="0"/>
        <w:autoSpaceDN w:val="0"/>
        <w:adjustRightInd w:val="0"/>
        <w:rPr>
          <w:rFonts w:cs="Tahoma"/>
        </w:rPr>
      </w:pPr>
      <w:r>
        <w:rPr>
          <w:rFonts w:cs="Tahoma"/>
        </w:rPr>
        <w:t>P</w:t>
      </w:r>
      <w:r w:rsidR="00D55A32">
        <w:rPr>
          <w:rFonts w:cs="Tahoma"/>
        </w:rPr>
        <w:t>er quanto riguarda la transazione di produzione a contratto, VEE sostiene</w:t>
      </w:r>
      <w:r w:rsidR="00110CB4">
        <w:rPr>
          <w:rFonts w:cs="Tahoma"/>
        </w:rPr>
        <w:t xml:space="preserve"> </w:t>
      </w:r>
      <w:r w:rsidR="00D55A32">
        <w:t xml:space="preserve">il rischio di magazzino relativamente alle componenti acquistate da Vimercati e per i prodotti finiti e semifiniti realizzati nell’ambito della propria attività di produzione e il rischio di cambio Euro / </w:t>
      </w:r>
      <w:proofErr w:type="spellStart"/>
      <w:r w:rsidR="00D55A32">
        <w:t>Ron</w:t>
      </w:r>
      <w:proofErr w:type="spellEnd"/>
      <w:r w:rsidR="00D55A32">
        <w:t xml:space="preserve"> dal momento che vende i prodotti finiti e semifiniti alla controllante in Euro. Infine, in relazione alla transazione di produzione e vendita diretta di prodotti, VEE sostiene il rischio di magazzino e il rischio di credito essendo la diretta controparte del cliente. </w:t>
      </w:r>
    </w:p>
    <w:p w14:paraId="028B0406" w14:textId="0A7C9F88" w:rsidR="00110CB4" w:rsidRPr="00110CB4" w:rsidRDefault="00110CB4" w:rsidP="00110CB4">
      <w:proofErr w:type="spellStart"/>
      <w:r>
        <w:rPr>
          <w:rFonts w:cs="Tahoma"/>
        </w:rPr>
        <w:t>Viney</w:t>
      </w:r>
      <w:proofErr w:type="spellEnd"/>
      <w:r>
        <w:rPr>
          <w:rFonts w:cs="Tahoma"/>
        </w:rPr>
        <w:t xml:space="preserve"> si assume i rischi connessi all’attività di produzione di componenti (rischio di mercato e rischio di magazzino) nonché il rischio di cambio Euro/Rupia, in quanto l’acquisto dei componenti da parte di Vimercati avviene in Euro. Nella transazione in esame non si assume il rischio di credito, avendo Vimercati quale controparte.</w:t>
      </w:r>
    </w:p>
    <w:p w14:paraId="447DF270" w14:textId="74616204" w:rsidR="00110CB4" w:rsidRDefault="00110CB4">
      <w:pPr>
        <w:spacing w:before="0" w:after="160" w:line="259" w:lineRule="auto"/>
        <w:jc w:val="left"/>
      </w:pPr>
      <w:r>
        <w:br w:type="page"/>
      </w:r>
    </w:p>
    <w:p w14:paraId="6CC4A7FF" w14:textId="13B418AC" w:rsidR="00CE26F7" w:rsidRDefault="00110CB4" w:rsidP="007C1E4E">
      <w:pPr>
        <w:pStyle w:val="Titolo1"/>
        <w:numPr>
          <w:ilvl w:val="0"/>
          <w:numId w:val="5"/>
        </w:numPr>
        <w:spacing w:line="320" w:lineRule="exact"/>
        <w:ind w:left="714" w:hanging="357"/>
      </w:pPr>
      <w:bookmarkStart w:id="52" w:name="_Toc25674103"/>
      <w:r>
        <w:lastRenderedPageBreak/>
        <w:t>Beni immateriali</w:t>
      </w:r>
      <w:bookmarkEnd w:id="52"/>
    </w:p>
    <w:p w14:paraId="4F49722C" w14:textId="77777777" w:rsidR="00110CB4" w:rsidRDefault="00110CB4" w:rsidP="00110CB4">
      <w:pPr>
        <w:autoSpaceDE w:val="0"/>
        <w:autoSpaceDN w:val="0"/>
        <w:adjustRightInd w:val="0"/>
        <w:rPr>
          <w:bCs/>
        </w:rPr>
      </w:pPr>
      <w:r>
        <w:rPr>
          <w:bCs/>
        </w:rPr>
        <w:t xml:space="preserve">In relazione alle attività immateriali impiegate nell’ambito della presente transazione, </w:t>
      </w:r>
      <w:r w:rsidRPr="00810F13">
        <w:rPr>
          <w:bCs/>
        </w:rPr>
        <w:t>Vimercati può contare</w:t>
      </w:r>
      <w:r>
        <w:rPr>
          <w:bCs/>
        </w:rPr>
        <w:t xml:space="preserve"> innanzitutto</w:t>
      </w:r>
      <w:r w:rsidRPr="00810F13">
        <w:rPr>
          <w:bCs/>
        </w:rPr>
        <w:t xml:space="preserve"> </w:t>
      </w:r>
      <w:r>
        <w:rPr>
          <w:bCs/>
        </w:rPr>
        <w:t>sul proprio</w:t>
      </w:r>
      <w:r w:rsidRPr="00810F13">
        <w:rPr>
          <w:bCs/>
        </w:rPr>
        <w:t xml:space="preserve"> </w:t>
      </w:r>
      <w:proofErr w:type="spellStart"/>
      <w:r w:rsidRPr="008D4F47">
        <w:rPr>
          <w:bCs/>
          <w:i/>
        </w:rPr>
        <w:t>know</w:t>
      </w:r>
      <w:proofErr w:type="spellEnd"/>
      <w:r w:rsidRPr="008D4F47">
        <w:rPr>
          <w:bCs/>
          <w:i/>
        </w:rPr>
        <w:t xml:space="preserve"> </w:t>
      </w:r>
      <w:proofErr w:type="spellStart"/>
      <w:r w:rsidRPr="008D4F47">
        <w:rPr>
          <w:bCs/>
          <w:i/>
        </w:rPr>
        <w:t>how</w:t>
      </w:r>
      <w:proofErr w:type="spellEnd"/>
      <w:r w:rsidRPr="00810F13">
        <w:rPr>
          <w:bCs/>
        </w:rPr>
        <w:t xml:space="preserve"> di processo per la produzione industriale. </w:t>
      </w:r>
    </w:p>
    <w:p w14:paraId="4FADEF27" w14:textId="59F4C917" w:rsidR="00110CB4" w:rsidRDefault="00110CB4" w:rsidP="00110CB4">
      <w:pPr>
        <w:autoSpaceDE w:val="0"/>
        <w:autoSpaceDN w:val="0"/>
        <w:adjustRightInd w:val="0"/>
        <w:rPr>
          <w:bCs/>
        </w:rPr>
      </w:pPr>
      <w:r w:rsidRPr="00810F13">
        <w:rPr>
          <w:bCs/>
        </w:rPr>
        <w:t xml:space="preserve">Non sono trascurabili nemmeno altri </w:t>
      </w:r>
      <w:r w:rsidRPr="00673B6F">
        <w:rPr>
          <w:bCs/>
          <w:i/>
        </w:rPr>
        <w:t>assets</w:t>
      </w:r>
      <w:r w:rsidRPr="00810F13">
        <w:rPr>
          <w:bCs/>
        </w:rPr>
        <w:t xml:space="preserve"> </w:t>
      </w:r>
      <w:r w:rsidR="00D33673">
        <w:rPr>
          <w:bCs/>
        </w:rPr>
        <w:t>immateriali</w:t>
      </w:r>
      <w:r w:rsidRPr="00810F13">
        <w:rPr>
          <w:bCs/>
        </w:rPr>
        <w:t xml:space="preserve">, costituiti </w:t>
      </w:r>
      <w:r>
        <w:rPr>
          <w:bCs/>
        </w:rPr>
        <w:t>dall’apprezzamento</w:t>
      </w:r>
      <w:r w:rsidRPr="00810F13">
        <w:rPr>
          <w:bCs/>
        </w:rPr>
        <w:t xml:space="preserve"> </w:t>
      </w:r>
      <w:r>
        <w:rPr>
          <w:bCs/>
        </w:rPr>
        <w:t>di</w:t>
      </w:r>
      <w:r w:rsidRPr="00810F13">
        <w:rPr>
          <w:bCs/>
        </w:rPr>
        <w:t xml:space="preserve"> Vimercati presso la clientela e</w:t>
      </w:r>
      <w:r>
        <w:rPr>
          <w:bCs/>
        </w:rPr>
        <w:t>,</w:t>
      </w:r>
      <w:r w:rsidRPr="00810F13">
        <w:rPr>
          <w:bCs/>
        </w:rPr>
        <w:t xml:space="preserve"> dunque</w:t>
      </w:r>
      <w:r>
        <w:rPr>
          <w:bCs/>
        </w:rPr>
        <w:t>,</w:t>
      </w:r>
      <w:r w:rsidRPr="00810F13">
        <w:rPr>
          <w:bCs/>
        </w:rPr>
        <w:t xml:space="preserve"> dalla riconoscibilità della sua denominazione commerciale (c.d. </w:t>
      </w:r>
      <w:r w:rsidRPr="009156F7">
        <w:rPr>
          <w:i/>
        </w:rPr>
        <w:t>beni immateriali di marketing</w:t>
      </w:r>
      <w:r w:rsidRPr="00810F13">
        <w:rPr>
          <w:bCs/>
        </w:rPr>
        <w:t xml:space="preserve">). </w:t>
      </w:r>
    </w:p>
    <w:p w14:paraId="5EBC9DF5" w14:textId="6B6803E3" w:rsidR="00110CB4" w:rsidRDefault="00110CB4" w:rsidP="00110CB4">
      <w:pPr>
        <w:autoSpaceDE w:val="0"/>
        <w:autoSpaceDN w:val="0"/>
        <w:adjustRightInd w:val="0"/>
        <w:rPr>
          <w:bCs/>
        </w:rPr>
      </w:pPr>
      <w:r>
        <w:rPr>
          <w:bCs/>
        </w:rPr>
        <w:t xml:space="preserve">La controllata </w:t>
      </w:r>
      <w:r w:rsidRPr="00810F13">
        <w:rPr>
          <w:bCs/>
        </w:rPr>
        <w:t xml:space="preserve">VEE </w:t>
      </w:r>
      <w:r>
        <w:rPr>
          <w:bCs/>
        </w:rPr>
        <w:t xml:space="preserve">non dispone di </w:t>
      </w:r>
      <w:r w:rsidRPr="00200A63">
        <w:rPr>
          <w:bCs/>
          <w:i/>
        </w:rPr>
        <w:t>assets</w:t>
      </w:r>
      <w:r>
        <w:rPr>
          <w:bCs/>
        </w:rPr>
        <w:t xml:space="preserve"> </w:t>
      </w:r>
      <w:r w:rsidR="00D33673">
        <w:rPr>
          <w:bCs/>
        </w:rPr>
        <w:t>immateriali</w:t>
      </w:r>
      <w:r>
        <w:rPr>
          <w:bCs/>
        </w:rPr>
        <w:t xml:space="preserve"> che, ancorché non rilevati contabilmente nel proprio bilancio,</w:t>
      </w:r>
      <w:r w:rsidRPr="00810F13">
        <w:rPr>
          <w:bCs/>
        </w:rPr>
        <w:t xml:space="preserve"> possano essere suscettibili di </w:t>
      </w:r>
      <w:r>
        <w:rPr>
          <w:bCs/>
        </w:rPr>
        <w:t xml:space="preserve">una qualche </w:t>
      </w:r>
      <w:r w:rsidRPr="00810F13">
        <w:rPr>
          <w:bCs/>
        </w:rPr>
        <w:t>valutazione economica autonoma.</w:t>
      </w:r>
    </w:p>
    <w:p w14:paraId="0504A456" w14:textId="77777777" w:rsidR="00110CB4" w:rsidRDefault="00110CB4" w:rsidP="00110CB4">
      <w:pPr>
        <w:autoSpaceDE w:val="0"/>
        <w:autoSpaceDN w:val="0"/>
        <w:adjustRightInd w:val="0"/>
        <w:rPr>
          <w:bCs/>
        </w:rPr>
      </w:pPr>
      <w:proofErr w:type="spellStart"/>
      <w:r>
        <w:rPr>
          <w:bCs/>
        </w:rPr>
        <w:t>Viney</w:t>
      </w:r>
      <w:proofErr w:type="spellEnd"/>
      <w:r>
        <w:rPr>
          <w:bCs/>
        </w:rPr>
        <w:t xml:space="preserve"> dispone anch’essa di un proprio </w:t>
      </w:r>
      <w:proofErr w:type="spellStart"/>
      <w:r w:rsidRPr="000D44F9">
        <w:rPr>
          <w:bCs/>
          <w:i/>
        </w:rPr>
        <w:t>know</w:t>
      </w:r>
      <w:proofErr w:type="spellEnd"/>
      <w:r w:rsidRPr="000D44F9">
        <w:rPr>
          <w:bCs/>
          <w:i/>
        </w:rPr>
        <w:t xml:space="preserve"> </w:t>
      </w:r>
      <w:proofErr w:type="spellStart"/>
      <w:r w:rsidRPr="000D44F9">
        <w:rPr>
          <w:bCs/>
          <w:i/>
        </w:rPr>
        <w:t>how</w:t>
      </w:r>
      <w:proofErr w:type="spellEnd"/>
      <w:r>
        <w:rPr>
          <w:bCs/>
        </w:rPr>
        <w:t xml:space="preserve"> di processo essendo un produttore verticalmente integrato di componentistica che opera da anni sul mercato.</w:t>
      </w:r>
    </w:p>
    <w:p w14:paraId="35F4F0CB" w14:textId="77777777" w:rsidR="00110CB4" w:rsidRPr="00110CB4" w:rsidRDefault="00110CB4" w:rsidP="00110CB4"/>
    <w:p w14:paraId="13142A60" w14:textId="3F5D055C" w:rsidR="00110CB4" w:rsidRDefault="00110CB4" w:rsidP="00203A55"/>
    <w:p w14:paraId="6EA370F6" w14:textId="77777777" w:rsidR="00110CB4" w:rsidRDefault="00110CB4">
      <w:pPr>
        <w:spacing w:before="0" w:after="160" w:line="259" w:lineRule="auto"/>
        <w:jc w:val="left"/>
      </w:pPr>
      <w:r>
        <w:br w:type="page"/>
      </w:r>
    </w:p>
    <w:p w14:paraId="42D6A3F7" w14:textId="6254FE17" w:rsidR="00203A55" w:rsidRDefault="00110CB4" w:rsidP="004C0743">
      <w:pPr>
        <w:pStyle w:val="Titolo1"/>
        <w:numPr>
          <w:ilvl w:val="0"/>
          <w:numId w:val="5"/>
        </w:numPr>
        <w:spacing w:line="360" w:lineRule="exact"/>
        <w:ind w:left="714" w:hanging="357"/>
      </w:pPr>
      <w:bookmarkStart w:id="53" w:name="_Toc25674104"/>
      <w:r>
        <w:lastRenderedPageBreak/>
        <w:t>Politica di determinazione dei prezzi di trasferimento del gruppo</w:t>
      </w:r>
      <w:bookmarkEnd w:id="53"/>
    </w:p>
    <w:p w14:paraId="71071F7B" w14:textId="740AD8F7" w:rsidR="00525FCA" w:rsidRDefault="00525FCA" w:rsidP="00525FCA">
      <w:pPr>
        <w:pStyle w:val="Titolo2"/>
        <w:numPr>
          <w:ilvl w:val="1"/>
          <w:numId w:val="5"/>
        </w:numPr>
      </w:pPr>
      <w:bookmarkStart w:id="54" w:name="_Toc17283206"/>
      <w:bookmarkStart w:id="55" w:name="_Toc17450431"/>
      <w:bookmarkStart w:id="56" w:name="_Toc17283207"/>
      <w:bookmarkStart w:id="57" w:name="_Toc17450432"/>
      <w:bookmarkStart w:id="58" w:name="_Toc17283208"/>
      <w:bookmarkStart w:id="59" w:name="_Toc17450433"/>
      <w:bookmarkStart w:id="60" w:name="_Toc17283209"/>
      <w:bookmarkStart w:id="61" w:name="_Toc17450434"/>
      <w:bookmarkStart w:id="62" w:name="_Toc17283210"/>
      <w:bookmarkStart w:id="63" w:name="_Toc17450435"/>
      <w:bookmarkStart w:id="64" w:name="_Toc17283211"/>
      <w:bookmarkStart w:id="65" w:name="_Toc17450436"/>
      <w:bookmarkStart w:id="66" w:name="_Toc17283212"/>
      <w:bookmarkStart w:id="67" w:name="_Toc17450437"/>
      <w:bookmarkStart w:id="68" w:name="_Toc17283213"/>
      <w:bookmarkStart w:id="69" w:name="_Toc17450438"/>
      <w:bookmarkStart w:id="70" w:name="_Toc17283214"/>
      <w:bookmarkStart w:id="71" w:name="_Toc17450439"/>
      <w:bookmarkStart w:id="72" w:name="_Toc17283215"/>
      <w:bookmarkStart w:id="73" w:name="_Toc17450440"/>
      <w:bookmarkStart w:id="74" w:name="_Toc17283216"/>
      <w:bookmarkStart w:id="75" w:name="_Toc17450441"/>
      <w:bookmarkStart w:id="76" w:name="_Toc17283237"/>
      <w:bookmarkStart w:id="77" w:name="_Toc17450462"/>
      <w:bookmarkStart w:id="78" w:name="_Toc17283238"/>
      <w:bookmarkStart w:id="79" w:name="_Toc17450463"/>
      <w:bookmarkStart w:id="80" w:name="_Toc17283239"/>
      <w:bookmarkStart w:id="81" w:name="_Toc17450464"/>
      <w:bookmarkStart w:id="82" w:name="_Toc17283240"/>
      <w:bookmarkStart w:id="83" w:name="_Toc17450465"/>
      <w:bookmarkStart w:id="84" w:name="_Toc17283241"/>
      <w:bookmarkStart w:id="85" w:name="_Toc17450466"/>
      <w:bookmarkStart w:id="86" w:name="_Toc17283242"/>
      <w:bookmarkStart w:id="87" w:name="_Toc17450467"/>
      <w:bookmarkStart w:id="88" w:name="_Toc25674106"/>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Transazione T</w:t>
      </w:r>
      <w:r w:rsidR="00DA4B92">
        <w:t>1</w:t>
      </w:r>
      <w:r>
        <w:t xml:space="preserve"> – Produzione a contratto</w:t>
      </w:r>
      <w:bookmarkEnd w:id="88"/>
    </w:p>
    <w:p w14:paraId="394F9351" w14:textId="77777777" w:rsidR="00525FCA" w:rsidRPr="000F3905" w:rsidRDefault="00525FCA" w:rsidP="00525FCA">
      <w:pPr>
        <w:pStyle w:val="Paragrafoelenco"/>
        <w:numPr>
          <w:ilvl w:val="0"/>
          <w:numId w:val="20"/>
        </w:numPr>
        <w:autoSpaceDE w:val="0"/>
        <w:autoSpaceDN w:val="0"/>
        <w:adjustRightInd w:val="0"/>
        <w:rPr>
          <w:rFonts w:cs="Tahoma"/>
          <w:b/>
          <w:bCs/>
        </w:rPr>
      </w:pPr>
      <w:r w:rsidRPr="000F3905">
        <w:rPr>
          <w:rFonts w:cs="Tahoma"/>
          <w:b/>
          <w:bCs/>
        </w:rPr>
        <w:t>Metodo selezionato</w:t>
      </w:r>
    </w:p>
    <w:p w14:paraId="6ACF1E00" w14:textId="407722CE" w:rsidR="00525FCA" w:rsidRDefault="00525FCA" w:rsidP="00525FCA">
      <w:pPr>
        <w:autoSpaceDE w:val="0"/>
        <w:autoSpaceDN w:val="0"/>
        <w:adjustRightInd w:val="0"/>
        <w:rPr>
          <w:rFonts w:cs="Tahoma"/>
          <w:bCs/>
        </w:rPr>
      </w:pPr>
      <w:r w:rsidRPr="000F3905">
        <w:rPr>
          <w:rFonts w:cs="Tahoma"/>
          <w:bCs/>
        </w:rPr>
        <w:t xml:space="preserve">Con riferimento alle transazioni descritte nel </w:t>
      </w:r>
      <w:r w:rsidRPr="00FF4DD2">
        <w:rPr>
          <w:rFonts w:cs="Tahoma"/>
          <w:bCs/>
        </w:rPr>
        <w:t>paragrafo 5.1.</w:t>
      </w:r>
      <w:r w:rsidR="00FF4DD2" w:rsidRPr="00FF4DD2">
        <w:rPr>
          <w:rFonts w:cs="Tahoma"/>
          <w:bCs/>
        </w:rPr>
        <w:t>1</w:t>
      </w:r>
      <w:r w:rsidRPr="00FF4DD2">
        <w:rPr>
          <w:rFonts w:cs="Tahoma"/>
          <w:bCs/>
        </w:rPr>
        <w:t>, si</w:t>
      </w:r>
      <w:r w:rsidRPr="000F3905">
        <w:rPr>
          <w:rFonts w:cs="Tahoma"/>
          <w:bCs/>
        </w:rPr>
        <w:t xml:space="preserve"> evidenzia che i servizi di </w:t>
      </w:r>
      <w:r w:rsidR="001C5ED2">
        <w:rPr>
          <w:rFonts w:cs="Tahoma"/>
          <w:bCs/>
        </w:rPr>
        <w:t xml:space="preserve">produzione </w:t>
      </w:r>
      <w:r w:rsidRPr="000F3905">
        <w:rPr>
          <w:rFonts w:cs="Tahoma"/>
          <w:bCs/>
        </w:rPr>
        <w:t xml:space="preserve">sono remunerati sulla base del costo </w:t>
      </w:r>
      <w:r w:rsidR="001C5ED2">
        <w:rPr>
          <w:rFonts w:cs="Tahoma"/>
          <w:bCs/>
        </w:rPr>
        <w:t xml:space="preserve">delle materie prime e componenti utilizzate e sul costo </w:t>
      </w:r>
      <w:r w:rsidRPr="000F3905">
        <w:rPr>
          <w:rFonts w:cs="Tahoma"/>
          <w:bCs/>
        </w:rPr>
        <w:t xml:space="preserve">orario delle risorse impiegate nell’espletamento delle predette attività. </w:t>
      </w:r>
      <w:r>
        <w:rPr>
          <w:rFonts w:cs="Tahoma"/>
          <w:bCs/>
        </w:rPr>
        <w:t xml:space="preserve"> </w:t>
      </w:r>
      <w:r w:rsidRPr="000F3905">
        <w:rPr>
          <w:rFonts w:cs="Tahoma"/>
          <w:bCs/>
        </w:rPr>
        <w:t>Il metodo di determinazione dei prezzi di trasferimento utilizzato per questa tipologia di transazione è il TNMM basato su comparabili esterni</w:t>
      </w:r>
      <w:r>
        <w:rPr>
          <w:rFonts w:cs="Tahoma"/>
          <w:bCs/>
        </w:rPr>
        <w:t>.</w:t>
      </w:r>
    </w:p>
    <w:p w14:paraId="26BEC995" w14:textId="77777777" w:rsidR="00525FCA" w:rsidRDefault="00525FCA" w:rsidP="00525FCA">
      <w:pPr>
        <w:pStyle w:val="Paragrafoelenco"/>
        <w:numPr>
          <w:ilvl w:val="0"/>
          <w:numId w:val="27"/>
        </w:numPr>
        <w:autoSpaceDE w:val="0"/>
        <w:autoSpaceDN w:val="0"/>
        <w:adjustRightInd w:val="0"/>
        <w:rPr>
          <w:rFonts w:cs="Tahoma"/>
          <w:b/>
          <w:bCs/>
        </w:rPr>
      </w:pPr>
      <w:r>
        <w:rPr>
          <w:rFonts w:cs="Tahoma"/>
          <w:b/>
          <w:bCs/>
        </w:rPr>
        <w:t>Motivazioni</w:t>
      </w:r>
    </w:p>
    <w:p w14:paraId="00481C0B" w14:textId="77777777" w:rsidR="00525FCA" w:rsidRPr="000D44F9" w:rsidRDefault="00525FCA" w:rsidP="00525FCA">
      <w:pPr>
        <w:autoSpaceDE w:val="0"/>
        <w:autoSpaceDN w:val="0"/>
        <w:adjustRightInd w:val="0"/>
        <w:rPr>
          <w:rFonts w:cs="Tahoma"/>
          <w:bCs/>
        </w:rPr>
      </w:pPr>
      <w:r w:rsidRPr="000D44F9">
        <w:rPr>
          <w:rFonts w:cs="Tahoma"/>
          <w:bCs/>
        </w:rPr>
        <w:t>Le Linee Guida OCSE raccomandano che, ove possibile, si debba effettuare una comparazione diretta del prezzo.</w:t>
      </w:r>
    </w:p>
    <w:p w14:paraId="69688D56" w14:textId="77777777" w:rsidR="00525FCA" w:rsidRPr="000D44F9" w:rsidRDefault="00525FCA" w:rsidP="00525FCA">
      <w:pPr>
        <w:autoSpaceDE w:val="0"/>
        <w:autoSpaceDN w:val="0"/>
        <w:adjustRightInd w:val="0"/>
        <w:rPr>
          <w:rFonts w:cs="Tahoma"/>
          <w:bCs/>
        </w:rPr>
      </w:pPr>
      <w:r w:rsidRPr="000D44F9">
        <w:rPr>
          <w:rFonts w:cs="Tahoma"/>
          <w:bCs/>
        </w:rPr>
        <w:t>Nel presente caso, non è stato possibile applicare il metodo CUP in quanto Vimercati e le propria società controllata estera non realizzano operazioni simili con terze parti ed indipendenti ed il Gruppo non dispone di informazioni sui prezzi di transazioni simili realizzate tra terze parti.</w:t>
      </w:r>
    </w:p>
    <w:p w14:paraId="6B03170C" w14:textId="6A4F5069" w:rsidR="00525FCA" w:rsidRPr="000D44F9" w:rsidRDefault="00525FCA" w:rsidP="00525FCA">
      <w:pPr>
        <w:autoSpaceDE w:val="0"/>
        <w:autoSpaceDN w:val="0"/>
        <w:adjustRightInd w:val="0"/>
        <w:rPr>
          <w:rFonts w:cs="Tahoma"/>
          <w:bCs/>
        </w:rPr>
      </w:pPr>
      <w:r w:rsidRPr="000D44F9">
        <w:rPr>
          <w:rFonts w:cs="Tahoma"/>
          <w:bCs/>
        </w:rPr>
        <w:t>In mancanza di tale possibilità ed alla luce del fatto che, nell’ambito della transazione in esame, la controllata romena assolve la funzione di “</w:t>
      </w:r>
      <w:proofErr w:type="spellStart"/>
      <w:r w:rsidR="001C5ED2">
        <w:rPr>
          <w:rFonts w:cs="Tahoma"/>
          <w:bCs/>
          <w:i/>
        </w:rPr>
        <w:t>contract</w:t>
      </w:r>
      <w:proofErr w:type="spellEnd"/>
      <w:r w:rsidRPr="000D44F9">
        <w:rPr>
          <w:rFonts w:cs="Tahoma"/>
          <w:bCs/>
          <w:i/>
        </w:rPr>
        <w:t xml:space="preserve"> </w:t>
      </w:r>
      <w:proofErr w:type="spellStart"/>
      <w:r w:rsidRPr="000D44F9">
        <w:rPr>
          <w:rFonts w:cs="Tahoma"/>
          <w:bCs/>
          <w:i/>
        </w:rPr>
        <w:t>manufacturer</w:t>
      </w:r>
      <w:proofErr w:type="spellEnd"/>
      <w:r w:rsidR="001C5ED2">
        <w:rPr>
          <w:rFonts w:cs="Tahoma"/>
          <w:bCs/>
        </w:rPr>
        <w:t>” (attività di produzione</w:t>
      </w:r>
      <w:r w:rsidRPr="000D44F9">
        <w:rPr>
          <w:rFonts w:cs="Tahoma"/>
          <w:bCs/>
        </w:rPr>
        <w:t>), al fine di analizzare la redditività conseguita dalla stessa, il metodo più appropriato da applicare deve essere basato sul margine espresso come percentuale sul totale dei costi</w:t>
      </w:r>
      <w:r w:rsidR="00D53DBF">
        <w:rPr>
          <w:rFonts w:cs="Tahoma"/>
          <w:bCs/>
        </w:rPr>
        <w:t xml:space="preserve"> totali</w:t>
      </w:r>
      <w:r w:rsidRPr="000D44F9">
        <w:rPr>
          <w:rFonts w:cs="Tahoma"/>
          <w:bCs/>
        </w:rPr>
        <w:t xml:space="preserve"> sostenuti.</w:t>
      </w:r>
    </w:p>
    <w:p w14:paraId="70982AC8" w14:textId="77777777" w:rsidR="00525FCA" w:rsidRPr="000D44F9" w:rsidRDefault="00525FCA" w:rsidP="00525FCA">
      <w:pPr>
        <w:autoSpaceDE w:val="0"/>
        <w:autoSpaceDN w:val="0"/>
        <w:adjustRightInd w:val="0"/>
        <w:rPr>
          <w:rFonts w:cs="Tahoma"/>
          <w:bCs/>
        </w:rPr>
      </w:pPr>
      <w:r w:rsidRPr="000D44F9">
        <w:rPr>
          <w:rFonts w:cs="Tahoma"/>
          <w:bCs/>
        </w:rPr>
        <w:t>In relazione alle funzioni assolte e alle attività svolte dalla controllata romena, è stato adottato il metodo TNMM, rivelandosi più adatto in quanto meno influenzato dalle differenze di trattamento contabile dei costi e dalle differenze funzionali rispetto ai metodi tradizionali.</w:t>
      </w:r>
    </w:p>
    <w:p w14:paraId="18AE2B93" w14:textId="77777777" w:rsidR="00525FCA" w:rsidRDefault="00525FCA" w:rsidP="00525FCA">
      <w:pPr>
        <w:pStyle w:val="Paragrafoelenco"/>
        <w:numPr>
          <w:ilvl w:val="0"/>
          <w:numId w:val="27"/>
        </w:numPr>
        <w:autoSpaceDE w:val="0"/>
        <w:autoSpaceDN w:val="0"/>
        <w:adjustRightInd w:val="0"/>
        <w:rPr>
          <w:rFonts w:cs="Tahoma"/>
          <w:b/>
          <w:bCs/>
        </w:rPr>
      </w:pPr>
      <w:r>
        <w:rPr>
          <w:rFonts w:cs="Tahoma"/>
          <w:b/>
          <w:bCs/>
        </w:rPr>
        <w:t>Parametri a supporto del valore di libera concorrenza</w:t>
      </w:r>
    </w:p>
    <w:p w14:paraId="6CCA760C" w14:textId="77777777" w:rsidR="00525FCA" w:rsidRPr="000D44F9" w:rsidRDefault="00525FCA" w:rsidP="00525FCA">
      <w:pPr>
        <w:autoSpaceDE w:val="0"/>
        <w:autoSpaceDN w:val="0"/>
        <w:adjustRightInd w:val="0"/>
        <w:rPr>
          <w:rFonts w:cs="Tahoma"/>
          <w:bCs/>
        </w:rPr>
      </w:pPr>
      <w:r w:rsidRPr="000D44F9">
        <w:rPr>
          <w:rFonts w:cs="Tahoma"/>
          <w:bCs/>
        </w:rPr>
        <w:t xml:space="preserve">Nella transazione oggetto di analisi, è stato comparato il </w:t>
      </w:r>
      <w:r w:rsidRPr="000D44F9">
        <w:rPr>
          <w:rFonts w:cs="Tahoma"/>
          <w:bCs/>
          <w:i/>
        </w:rPr>
        <w:t xml:space="preserve">Net </w:t>
      </w:r>
      <w:proofErr w:type="spellStart"/>
      <w:r w:rsidRPr="000D44F9">
        <w:rPr>
          <w:rFonts w:cs="Tahoma"/>
          <w:bCs/>
          <w:i/>
        </w:rPr>
        <w:t>cost</w:t>
      </w:r>
      <w:proofErr w:type="spellEnd"/>
      <w:r w:rsidRPr="000D44F9">
        <w:rPr>
          <w:rFonts w:cs="Tahoma"/>
          <w:bCs/>
          <w:i/>
        </w:rPr>
        <w:t xml:space="preserve"> plus</w:t>
      </w:r>
      <w:r w:rsidRPr="000D44F9">
        <w:rPr>
          <w:rFonts w:cs="Tahoma"/>
          <w:bCs/>
        </w:rPr>
        <w:t xml:space="preserve"> (calcolato come rapporto tra risultato operativo e costi operativi totali) conseguito dalla società romena con il margine conseguito da soggetti terzi ed indipendenti che svolgono funzioni ed attività similari in mercati geografici comparabili. </w:t>
      </w:r>
    </w:p>
    <w:p w14:paraId="2E1FADC9" w14:textId="77777777" w:rsidR="00525FCA" w:rsidRDefault="00525FCA" w:rsidP="00525FCA">
      <w:pPr>
        <w:autoSpaceDE w:val="0"/>
        <w:autoSpaceDN w:val="0"/>
        <w:adjustRightInd w:val="0"/>
        <w:rPr>
          <w:rFonts w:cs="Tahoma"/>
          <w:bCs/>
        </w:rPr>
      </w:pPr>
      <w:r w:rsidRPr="000D44F9">
        <w:rPr>
          <w:rFonts w:cs="Tahoma"/>
          <w:bCs/>
        </w:rPr>
        <w:t xml:space="preserve">L’analisi di </w:t>
      </w:r>
      <w:r w:rsidRPr="000D44F9">
        <w:rPr>
          <w:rFonts w:cs="Tahoma"/>
          <w:bCs/>
          <w:i/>
        </w:rPr>
        <w:t>benchmark</w:t>
      </w:r>
      <w:r w:rsidRPr="000D44F9">
        <w:rPr>
          <w:rFonts w:cs="Tahoma"/>
          <w:bCs/>
        </w:rPr>
        <w:t xml:space="preserve"> condotta con l’ausilio del database </w:t>
      </w:r>
      <w:r>
        <w:rPr>
          <w:rFonts w:cs="Tahoma"/>
          <w:bCs/>
        </w:rPr>
        <w:t>Orbis</w:t>
      </w:r>
      <w:r w:rsidRPr="000D44F9">
        <w:rPr>
          <w:rFonts w:cs="Tahoma"/>
          <w:bCs/>
        </w:rPr>
        <w:t xml:space="preserve"> ha condotto ai seguenti risultati:</w:t>
      </w:r>
    </w:p>
    <w:tbl>
      <w:tblPr>
        <w:tblW w:w="4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1837"/>
      </w:tblGrid>
      <w:tr w:rsidR="00525FCA" w14:paraId="04E750FB" w14:textId="77777777" w:rsidTr="00BB18DF">
        <w:trPr>
          <w:trHeight w:val="473"/>
          <w:jc w:val="center"/>
        </w:trPr>
        <w:tc>
          <w:tcPr>
            <w:tcW w:w="4775" w:type="dxa"/>
            <w:gridSpan w:val="2"/>
            <w:shd w:val="clear" w:color="auto" w:fill="00338D"/>
            <w:vAlign w:val="center"/>
          </w:tcPr>
          <w:p w14:paraId="105AC294" w14:textId="16F40525" w:rsidR="00525FCA" w:rsidRPr="00110CB4" w:rsidRDefault="00525FCA" w:rsidP="001E3F32">
            <w:pPr>
              <w:pStyle w:val="Nessunaspaziatura"/>
              <w:jc w:val="center"/>
              <w:rPr>
                <w:b/>
                <w:color w:val="FFFFFF" w:themeColor="background1"/>
              </w:rPr>
            </w:pPr>
            <w:proofErr w:type="spellStart"/>
            <w:r>
              <w:rPr>
                <w:b/>
                <w:color w:val="FFFFFF" w:themeColor="background1"/>
              </w:rPr>
              <w:t>Range</w:t>
            </w:r>
            <w:proofErr w:type="spellEnd"/>
            <w:r>
              <w:rPr>
                <w:b/>
                <w:color w:val="FFFFFF" w:themeColor="background1"/>
              </w:rPr>
              <w:t xml:space="preserve"> interquartile NCP (</w:t>
            </w:r>
            <w:r w:rsidR="001E3F32">
              <w:rPr>
                <w:b/>
                <w:color w:val="FFFFFF" w:themeColor="background1"/>
              </w:rPr>
              <w:t>201</w:t>
            </w:r>
            <w:r w:rsidR="00FF4DD2">
              <w:rPr>
                <w:b/>
                <w:color w:val="FFFFFF" w:themeColor="background1"/>
              </w:rPr>
              <w:t>5</w:t>
            </w:r>
            <w:r>
              <w:rPr>
                <w:b/>
                <w:color w:val="FFFFFF" w:themeColor="background1"/>
              </w:rPr>
              <w:t>-</w:t>
            </w:r>
            <w:r w:rsidR="001E3F32">
              <w:rPr>
                <w:b/>
                <w:color w:val="FFFFFF" w:themeColor="background1"/>
              </w:rPr>
              <w:t>201</w:t>
            </w:r>
            <w:r w:rsidR="00FF4DD2">
              <w:rPr>
                <w:b/>
                <w:color w:val="FFFFFF" w:themeColor="background1"/>
              </w:rPr>
              <w:t>7</w:t>
            </w:r>
            <w:r>
              <w:rPr>
                <w:b/>
                <w:color w:val="FFFFFF" w:themeColor="background1"/>
              </w:rPr>
              <w:t>)</w:t>
            </w:r>
          </w:p>
        </w:tc>
      </w:tr>
      <w:tr w:rsidR="00525FCA" w14:paraId="063D8809" w14:textId="77777777" w:rsidTr="00BB18DF">
        <w:trPr>
          <w:trHeight w:val="306"/>
          <w:jc w:val="center"/>
        </w:trPr>
        <w:tc>
          <w:tcPr>
            <w:tcW w:w="2938" w:type="dxa"/>
            <w:shd w:val="clear" w:color="auto" w:fill="auto"/>
          </w:tcPr>
          <w:p w14:paraId="391A5CEA" w14:textId="77777777" w:rsidR="00525FCA" w:rsidRPr="00110CB4" w:rsidRDefault="00525FCA" w:rsidP="00BB18DF">
            <w:pPr>
              <w:pStyle w:val="Nessunaspaziatura"/>
              <w:rPr>
                <w:b/>
                <w:i/>
              </w:rPr>
            </w:pPr>
            <w:r>
              <w:rPr>
                <w:b/>
                <w:i/>
              </w:rPr>
              <w:t>Società comparabili</w:t>
            </w:r>
          </w:p>
        </w:tc>
        <w:tc>
          <w:tcPr>
            <w:tcW w:w="1837" w:type="dxa"/>
            <w:shd w:val="clear" w:color="auto" w:fill="auto"/>
          </w:tcPr>
          <w:p w14:paraId="436B4B88" w14:textId="1A70FE33" w:rsidR="00525FCA" w:rsidRPr="00110CB4" w:rsidRDefault="00FF4DD2" w:rsidP="00BB18DF">
            <w:pPr>
              <w:pStyle w:val="Nessunaspaziatura"/>
              <w:jc w:val="center"/>
            </w:pPr>
            <w:r>
              <w:t>8</w:t>
            </w:r>
          </w:p>
        </w:tc>
      </w:tr>
      <w:tr w:rsidR="00B347C2" w14:paraId="11A87C25" w14:textId="77777777" w:rsidTr="00A56D1A">
        <w:trPr>
          <w:trHeight w:val="306"/>
          <w:jc w:val="center"/>
        </w:trPr>
        <w:tc>
          <w:tcPr>
            <w:tcW w:w="2938" w:type="dxa"/>
            <w:shd w:val="clear" w:color="auto" w:fill="auto"/>
          </w:tcPr>
          <w:p w14:paraId="01987CC4" w14:textId="77777777" w:rsidR="00B347C2" w:rsidRPr="00110CB4" w:rsidRDefault="00B347C2" w:rsidP="00B347C2">
            <w:pPr>
              <w:pStyle w:val="Nessunaspaziatura"/>
              <w:rPr>
                <w:b/>
                <w:i/>
              </w:rPr>
            </w:pPr>
            <w:r>
              <w:rPr>
                <w:b/>
                <w:i/>
              </w:rPr>
              <w:t>Massimo</w:t>
            </w:r>
          </w:p>
        </w:tc>
        <w:tc>
          <w:tcPr>
            <w:tcW w:w="1837" w:type="dxa"/>
            <w:shd w:val="clear" w:color="auto" w:fill="auto"/>
            <w:vAlign w:val="center"/>
          </w:tcPr>
          <w:p w14:paraId="51F72738" w14:textId="67CF8D32" w:rsidR="00B347C2" w:rsidRPr="00110CB4" w:rsidRDefault="00B347C2" w:rsidP="00B347C2">
            <w:pPr>
              <w:pStyle w:val="Nessunaspaziatura"/>
              <w:jc w:val="center"/>
            </w:pPr>
            <w:r w:rsidRPr="00C2643A">
              <w:rPr>
                <w:rFonts w:cs="Times New Roman"/>
                <w:szCs w:val="20"/>
              </w:rPr>
              <w:t>47,3%</w:t>
            </w:r>
          </w:p>
        </w:tc>
      </w:tr>
      <w:tr w:rsidR="00B347C2" w14:paraId="50E18E17" w14:textId="77777777" w:rsidTr="00A56D1A">
        <w:trPr>
          <w:trHeight w:val="306"/>
          <w:jc w:val="center"/>
        </w:trPr>
        <w:tc>
          <w:tcPr>
            <w:tcW w:w="2938" w:type="dxa"/>
            <w:shd w:val="clear" w:color="auto" w:fill="auto"/>
          </w:tcPr>
          <w:p w14:paraId="07AF4C7F" w14:textId="77777777" w:rsidR="00B347C2" w:rsidRPr="00110CB4" w:rsidRDefault="00B347C2" w:rsidP="00B347C2">
            <w:pPr>
              <w:pStyle w:val="Nessunaspaziatura"/>
              <w:rPr>
                <w:b/>
                <w:i/>
              </w:rPr>
            </w:pPr>
            <w:r>
              <w:rPr>
                <w:b/>
                <w:i/>
              </w:rPr>
              <w:t>75° percentile</w:t>
            </w:r>
          </w:p>
        </w:tc>
        <w:tc>
          <w:tcPr>
            <w:tcW w:w="1837" w:type="dxa"/>
            <w:shd w:val="clear" w:color="auto" w:fill="auto"/>
            <w:vAlign w:val="center"/>
          </w:tcPr>
          <w:p w14:paraId="6B164853" w14:textId="20689C05" w:rsidR="00B347C2" w:rsidRPr="00110CB4" w:rsidRDefault="00B347C2" w:rsidP="00B347C2">
            <w:pPr>
              <w:pStyle w:val="Nessunaspaziatura"/>
              <w:jc w:val="center"/>
            </w:pPr>
            <w:r w:rsidRPr="00C2643A">
              <w:rPr>
                <w:rFonts w:cs="Times New Roman"/>
                <w:szCs w:val="20"/>
              </w:rPr>
              <w:t>34,1%</w:t>
            </w:r>
          </w:p>
        </w:tc>
      </w:tr>
      <w:tr w:rsidR="00B347C2" w14:paraId="19533588" w14:textId="77777777" w:rsidTr="00A56D1A">
        <w:trPr>
          <w:trHeight w:val="306"/>
          <w:jc w:val="center"/>
        </w:trPr>
        <w:tc>
          <w:tcPr>
            <w:tcW w:w="2938" w:type="dxa"/>
            <w:shd w:val="clear" w:color="auto" w:fill="auto"/>
          </w:tcPr>
          <w:p w14:paraId="7814DE98" w14:textId="77777777" w:rsidR="00B347C2" w:rsidRPr="00110CB4" w:rsidRDefault="00B347C2" w:rsidP="00B347C2">
            <w:pPr>
              <w:pStyle w:val="Nessunaspaziatura"/>
              <w:rPr>
                <w:b/>
                <w:i/>
              </w:rPr>
            </w:pPr>
            <w:r>
              <w:rPr>
                <w:b/>
                <w:i/>
              </w:rPr>
              <w:t>Mediana</w:t>
            </w:r>
          </w:p>
        </w:tc>
        <w:tc>
          <w:tcPr>
            <w:tcW w:w="1837" w:type="dxa"/>
            <w:shd w:val="clear" w:color="auto" w:fill="auto"/>
            <w:vAlign w:val="center"/>
          </w:tcPr>
          <w:p w14:paraId="53AC700B" w14:textId="68363206" w:rsidR="00B347C2" w:rsidRPr="00110CB4" w:rsidRDefault="00B347C2" w:rsidP="00B347C2">
            <w:pPr>
              <w:pStyle w:val="Nessunaspaziatura"/>
              <w:jc w:val="center"/>
            </w:pPr>
            <w:r w:rsidRPr="00C2643A">
              <w:rPr>
                <w:rFonts w:cs="Times New Roman"/>
                <w:b/>
                <w:bCs/>
                <w:szCs w:val="20"/>
              </w:rPr>
              <w:t>18,4%</w:t>
            </w:r>
          </w:p>
        </w:tc>
      </w:tr>
      <w:tr w:rsidR="00B347C2" w14:paraId="42362A31" w14:textId="77777777" w:rsidTr="00A56D1A">
        <w:trPr>
          <w:trHeight w:val="306"/>
          <w:jc w:val="center"/>
        </w:trPr>
        <w:tc>
          <w:tcPr>
            <w:tcW w:w="2938" w:type="dxa"/>
            <w:shd w:val="clear" w:color="auto" w:fill="auto"/>
          </w:tcPr>
          <w:p w14:paraId="28396C96" w14:textId="77777777" w:rsidR="00B347C2" w:rsidRDefault="00B347C2" w:rsidP="00B347C2">
            <w:pPr>
              <w:pStyle w:val="Nessunaspaziatura"/>
              <w:rPr>
                <w:b/>
                <w:i/>
              </w:rPr>
            </w:pPr>
            <w:r>
              <w:rPr>
                <w:b/>
                <w:i/>
              </w:rPr>
              <w:t>25° percentile</w:t>
            </w:r>
          </w:p>
        </w:tc>
        <w:tc>
          <w:tcPr>
            <w:tcW w:w="1837" w:type="dxa"/>
            <w:shd w:val="clear" w:color="auto" w:fill="auto"/>
            <w:vAlign w:val="center"/>
          </w:tcPr>
          <w:p w14:paraId="3E078997" w14:textId="0229F197" w:rsidR="00B347C2" w:rsidRPr="00110CB4" w:rsidRDefault="00B347C2" w:rsidP="00B347C2">
            <w:pPr>
              <w:pStyle w:val="Nessunaspaziatura"/>
              <w:jc w:val="center"/>
            </w:pPr>
            <w:r w:rsidRPr="00C2643A">
              <w:rPr>
                <w:rFonts w:cs="Times New Roman"/>
                <w:szCs w:val="20"/>
              </w:rPr>
              <w:t>4,9%</w:t>
            </w:r>
          </w:p>
        </w:tc>
      </w:tr>
      <w:tr w:rsidR="00B347C2" w14:paraId="28279FE2" w14:textId="77777777" w:rsidTr="00A56D1A">
        <w:trPr>
          <w:trHeight w:val="306"/>
          <w:jc w:val="center"/>
        </w:trPr>
        <w:tc>
          <w:tcPr>
            <w:tcW w:w="2938" w:type="dxa"/>
            <w:shd w:val="clear" w:color="auto" w:fill="auto"/>
          </w:tcPr>
          <w:p w14:paraId="32FD6674" w14:textId="77777777" w:rsidR="00B347C2" w:rsidRDefault="00B347C2" w:rsidP="00B347C2">
            <w:pPr>
              <w:pStyle w:val="Nessunaspaziatura"/>
              <w:rPr>
                <w:b/>
                <w:i/>
              </w:rPr>
            </w:pPr>
            <w:r>
              <w:rPr>
                <w:b/>
                <w:i/>
              </w:rPr>
              <w:t>Minimo</w:t>
            </w:r>
          </w:p>
        </w:tc>
        <w:tc>
          <w:tcPr>
            <w:tcW w:w="1837" w:type="dxa"/>
            <w:shd w:val="clear" w:color="auto" w:fill="auto"/>
            <w:vAlign w:val="center"/>
          </w:tcPr>
          <w:p w14:paraId="3E504303" w14:textId="1E25E66E" w:rsidR="00B347C2" w:rsidRPr="00110CB4" w:rsidRDefault="00B347C2" w:rsidP="00B347C2">
            <w:pPr>
              <w:pStyle w:val="Nessunaspaziatura"/>
              <w:jc w:val="center"/>
            </w:pPr>
            <w:r w:rsidRPr="00C2643A">
              <w:rPr>
                <w:rFonts w:cs="Times New Roman"/>
                <w:szCs w:val="20"/>
              </w:rPr>
              <w:t>2,4%</w:t>
            </w:r>
          </w:p>
        </w:tc>
      </w:tr>
    </w:tbl>
    <w:p w14:paraId="132D7A1F" w14:textId="1DBBD059" w:rsidR="00525FCA" w:rsidRPr="000D44F9" w:rsidRDefault="00525FCA" w:rsidP="00525FCA">
      <w:pPr>
        <w:autoSpaceDE w:val="0"/>
        <w:autoSpaceDN w:val="0"/>
        <w:adjustRightInd w:val="0"/>
        <w:rPr>
          <w:rFonts w:cs="Tahoma"/>
          <w:bCs/>
        </w:rPr>
      </w:pPr>
      <w:r w:rsidRPr="000D44F9">
        <w:rPr>
          <w:rFonts w:cs="Tahoma"/>
          <w:bCs/>
        </w:rPr>
        <w:t>La controllata romena, quando assolve la funzione di “</w:t>
      </w:r>
      <w:proofErr w:type="spellStart"/>
      <w:r w:rsidRPr="000D44F9">
        <w:rPr>
          <w:rFonts w:cs="Tahoma"/>
          <w:bCs/>
          <w:i/>
        </w:rPr>
        <w:t>contract</w:t>
      </w:r>
      <w:proofErr w:type="spellEnd"/>
      <w:r w:rsidRPr="000D44F9">
        <w:rPr>
          <w:rFonts w:cs="Tahoma"/>
          <w:bCs/>
          <w:i/>
        </w:rPr>
        <w:t xml:space="preserve"> </w:t>
      </w:r>
      <w:proofErr w:type="spellStart"/>
      <w:r w:rsidRPr="000D44F9">
        <w:rPr>
          <w:rFonts w:cs="Tahoma"/>
          <w:bCs/>
          <w:i/>
        </w:rPr>
        <w:t>manufacturer</w:t>
      </w:r>
      <w:proofErr w:type="spellEnd"/>
      <w:r w:rsidRPr="000D44F9">
        <w:rPr>
          <w:rFonts w:cs="Tahoma"/>
          <w:bCs/>
        </w:rPr>
        <w:t xml:space="preserve">”, consegue nelle transazioni con la controllante un margine netto </w:t>
      </w:r>
      <w:r w:rsidRPr="00B347C2">
        <w:rPr>
          <w:rFonts w:cs="Tahoma"/>
          <w:bCs/>
        </w:rPr>
        <w:t xml:space="preserve">pari al </w:t>
      </w:r>
      <w:r w:rsidR="00B347C2" w:rsidRPr="00B347C2">
        <w:rPr>
          <w:rFonts w:cs="Tahoma"/>
          <w:bCs/>
        </w:rPr>
        <w:t>31,3</w:t>
      </w:r>
      <w:r w:rsidRPr="00B347C2">
        <w:rPr>
          <w:rFonts w:cs="Tahoma"/>
          <w:bCs/>
        </w:rPr>
        <w:t>%.</w:t>
      </w:r>
    </w:p>
    <w:p w14:paraId="52B2A2A5" w14:textId="77777777" w:rsidR="00525FCA" w:rsidRDefault="00525FCA" w:rsidP="00525FCA">
      <w:pPr>
        <w:autoSpaceDE w:val="0"/>
        <w:autoSpaceDN w:val="0"/>
        <w:adjustRightInd w:val="0"/>
        <w:rPr>
          <w:rFonts w:cs="Tahoma"/>
          <w:bCs/>
        </w:rPr>
      </w:pPr>
      <w:r w:rsidRPr="000D44F9">
        <w:rPr>
          <w:rFonts w:cs="Tahoma"/>
          <w:bCs/>
        </w:rPr>
        <w:lastRenderedPageBreak/>
        <w:t xml:space="preserve">Pertanto, il confronto mostra che VEE ha realizzato un margine che ricade all’interno dell’intervallo </w:t>
      </w:r>
      <w:r w:rsidRPr="000D44F9">
        <w:rPr>
          <w:rFonts w:cs="Tahoma"/>
          <w:bCs/>
          <w:i/>
        </w:rPr>
        <w:t xml:space="preserve">arm’s </w:t>
      </w:r>
      <w:proofErr w:type="spellStart"/>
      <w:r w:rsidRPr="000D44F9">
        <w:rPr>
          <w:rFonts w:cs="Tahoma"/>
          <w:bCs/>
          <w:i/>
        </w:rPr>
        <w:t>lenght</w:t>
      </w:r>
      <w:proofErr w:type="spellEnd"/>
      <w:r w:rsidRPr="000D44F9">
        <w:rPr>
          <w:rFonts w:cs="Tahoma"/>
          <w:bCs/>
        </w:rPr>
        <w:t xml:space="preserve"> e, conseguentemente, si può concludere che la transazione è conforme al principio di libera concorrenza.</w:t>
      </w:r>
    </w:p>
    <w:p w14:paraId="2A16744D" w14:textId="77777777" w:rsidR="00525FCA" w:rsidRDefault="00525FCA" w:rsidP="00525FCA">
      <w:pPr>
        <w:pStyle w:val="Paragrafoelenco"/>
        <w:numPr>
          <w:ilvl w:val="0"/>
          <w:numId w:val="27"/>
        </w:numPr>
        <w:autoSpaceDE w:val="0"/>
        <w:autoSpaceDN w:val="0"/>
        <w:adjustRightInd w:val="0"/>
        <w:rPr>
          <w:rFonts w:cs="Tahoma"/>
          <w:b/>
          <w:bCs/>
        </w:rPr>
      </w:pPr>
      <w:r>
        <w:rPr>
          <w:rFonts w:cs="Tahoma"/>
          <w:b/>
          <w:bCs/>
        </w:rPr>
        <w:t>Contesto contrattuale</w:t>
      </w:r>
    </w:p>
    <w:p w14:paraId="79ACB0CA" w14:textId="213BA724" w:rsidR="00525FCA" w:rsidRDefault="00F16613" w:rsidP="000F3905">
      <w:pPr>
        <w:autoSpaceDE w:val="0"/>
        <w:autoSpaceDN w:val="0"/>
        <w:adjustRightInd w:val="0"/>
        <w:rPr>
          <w:rFonts w:cs="Tahoma"/>
        </w:rPr>
      </w:pPr>
      <w:r>
        <w:rPr>
          <w:rFonts w:cs="Tahoma"/>
        </w:rPr>
        <w:t xml:space="preserve">Tra Vimercati e VEE è in essere un contratto che disciplina la vendita da parte della società italiana di alcuni prodotti (elencati nell’allegato al contratto). </w:t>
      </w:r>
    </w:p>
    <w:p w14:paraId="5EC962C8" w14:textId="357F15AC" w:rsidR="000F3905" w:rsidRDefault="000F3905" w:rsidP="000F3905">
      <w:pPr>
        <w:pStyle w:val="Titolo2"/>
        <w:numPr>
          <w:ilvl w:val="1"/>
          <w:numId w:val="5"/>
        </w:numPr>
      </w:pPr>
      <w:bookmarkStart w:id="89" w:name="_Toc25674107"/>
      <w:r>
        <w:t>Transazione T</w:t>
      </w:r>
      <w:r w:rsidR="00DA4B92">
        <w:t>2</w:t>
      </w:r>
      <w:r>
        <w:t xml:space="preserve"> – </w:t>
      </w:r>
      <w:r w:rsidR="00525FCA">
        <w:t xml:space="preserve">Produzione </w:t>
      </w:r>
      <w:r>
        <w:t>e vendita diretta di componenti</w:t>
      </w:r>
      <w:bookmarkEnd w:id="89"/>
    </w:p>
    <w:p w14:paraId="6EDF7629" w14:textId="77777777" w:rsidR="000F3905" w:rsidRPr="000F3905" w:rsidRDefault="000F3905" w:rsidP="001C5ED2">
      <w:pPr>
        <w:pStyle w:val="Paragrafoelenco"/>
        <w:numPr>
          <w:ilvl w:val="0"/>
          <w:numId w:val="28"/>
        </w:numPr>
        <w:autoSpaceDE w:val="0"/>
        <w:autoSpaceDN w:val="0"/>
        <w:adjustRightInd w:val="0"/>
        <w:rPr>
          <w:rFonts w:cs="Tahoma"/>
          <w:b/>
          <w:bCs/>
        </w:rPr>
      </w:pPr>
      <w:r w:rsidRPr="000F3905">
        <w:rPr>
          <w:rFonts w:cs="Tahoma"/>
          <w:b/>
          <w:bCs/>
        </w:rPr>
        <w:t>Metodo selezionato</w:t>
      </w:r>
    </w:p>
    <w:p w14:paraId="7FB4640D" w14:textId="79E733FE" w:rsidR="000F3905" w:rsidRPr="0044023A" w:rsidRDefault="000F3905" w:rsidP="000F3905">
      <w:pPr>
        <w:autoSpaceDE w:val="0"/>
        <w:autoSpaceDN w:val="0"/>
        <w:adjustRightInd w:val="0"/>
        <w:rPr>
          <w:rFonts w:cs="Tahoma"/>
          <w:bCs/>
        </w:rPr>
      </w:pPr>
      <w:r w:rsidRPr="0044023A">
        <w:rPr>
          <w:rFonts w:cs="Tahoma"/>
          <w:bCs/>
        </w:rPr>
        <w:t xml:space="preserve">Con riferimento alle transazioni descritte nel </w:t>
      </w:r>
      <w:r w:rsidRPr="00B347C2">
        <w:rPr>
          <w:rFonts w:cs="Tahoma"/>
          <w:bCs/>
        </w:rPr>
        <w:t>paragrafo 5.</w:t>
      </w:r>
      <w:r w:rsidR="00FF4DD2" w:rsidRPr="00B347C2">
        <w:rPr>
          <w:rFonts w:cs="Tahoma"/>
          <w:bCs/>
        </w:rPr>
        <w:t>2</w:t>
      </w:r>
      <w:r w:rsidRPr="00B347C2">
        <w:rPr>
          <w:rFonts w:cs="Tahoma"/>
          <w:bCs/>
        </w:rPr>
        <w:t>.</w:t>
      </w:r>
      <w:r w:rsidR="00FF4DD2" w:rsidRPr="00B347C2">
        <w:rPr>
          <w:rFonts w:cs="Tahoma"/>
          <w:bCs/>
        </w:rPr>
        <w:t>1</w:t>
      </w:r>
      <w:r w:rsidRPr="00FF4DD2">
        <w:rPr>
          <w:rFonts w:cs="Tahoma"/>
          <w:bCs/>
        </w:rPr>
        <w:t>,</w:t>
      </w:r>
      <w:r w:rsidRPr="0044023A">
        <w:rPr>
          <w:rFonts w:cs="Tahoma"/>
          <w:bCs/>
        </w:rPr>
        <w:t xml:space="preserve"> si evidenzia che i servizi di </w:t>
      </w:r>
      <w:r w:rsidR="00D53DBF">
        <w:rPr>
          <w:rFonts w:cs="Tahoma"/>
          <w:bCs/>
        </w:rPr>
        <w:t>produzione</w:t>
      </w:r>
      <w:r w:rsidRPr="0044023A">
        <w:rPr>
          <w:rFonts w:cs="Tahoma"/>
          <w:bCs/>
        </w:rPr>
        <w:t xml:space="preserve"> e vendita diretta che costituiscono un’unica transazione aggregata in cui sono ricompresi differenti flussi economici sono remunerati sulla base dei seguenti criteri:</w:t>
      </w:r>
    </w:p>
    <w:p w14:paraId="466F3CE2" w14:textId="77777777" w:rsidR="000F3905" w:rsidRPr="0044023A" w:rsidRDefault="000F3905" w:rsidP="000F3905">
      <w:pPr>
        <w:numPr>
          <w:ilvl w:val="0"/>
          <w:numId w:val="21"/>
        </w:numPr>
        <w:autoSpaceDE w:val="0"/>
        <w:autoSpaceDN w:val="0"/>
        <w:adjustRightInd w:val="0"/>
        <w:spacing w:before="60" w:after="60"/>
        <w:ind w:left="851" w:hanging="425"/>
        <w:rPr>
          <w:rFonts w:cs="Tahoma"/>
          <w:bCs/>
        </w:rPr>
      </w:pPr>
      <w:proofErr w:type="gramStart"/>
      <w:r w:rsidRPr="0044023A">
        <w:rPr>
          <w:rFonts w:cs="Tahoma"/>
          <w:bCs/>
        </w:rPr>
        <w:t>costo</w:t>
      </w:r>
      <w:proofErr w:type="gramEnd"/>
      <w:r w:rsidRPr="0044023A">
        <w:rPr>
          <w:rFonts w:cs="Tahoma"/>
          <w:bCs/>
        </w:rPr>
        <w:t xml:space="preserve"> orario delle risorse impiegate nell’espletamento delle predette attività;</w:t>
      </w:r>
    </w:p>
    <w:p w14:paraId="347F952D" w14:textId="77777777" w:rsidR="000F3905" w:rsidRPr="0044023A" w:rsidRDefault="000F3905" w:rsidP="000F3905">
      <w:pPr>
        <w:numPr>
          <w:ilvl w:val="0"/>
          <w:numId w:val="21"/>
        </w:numPr>
        <w:autoSpaceDE w:val="0"/>
        <w:autoSpaceDN w:val="0"/>
        <w:adjustRightInd w:val="0"/>
        <w:spacing w:before="60" w:after="60"/>
        <w:ind w:left="851" w:hanging="425"/>
        <w:rPr>
          <w:rFonts w:cs="Tahoma"/>
          <w:bCs/>
        </w:rPr>
      </w:pPr>
      <w:proofErr w:type="gramStart"/>
      <w:r w:rsidRPr="0044023A">
        <w:rPr>
          <w:rFonts w:cs="Tahoma"/>
          <w:bCs/>
        </w:rPr>
        <w:t>alla</w:t>
      </w:r>
      <w:proofErr w:type="gramEnd"/>
      <w:r w:rsidRPr="0044023A">
        <w:rPr>
          <w:rFonts w:cs="Tahoma"/>
          <w:bCs/>
        </w:rPr>
        <w:t xml:space="preserve"> luce delle funzioni svolte e delle attività impiegate da ciascuna entità e, quindi, del contributo dalle stesse apportato, alla realizzazione dei prodotti finiti destinati ad essere commercializzati alla clientela finale.</w:t>
      </w:r>
    </w:p>
    <w:p w14:paraId="0DC4E521" w14:textId="1D8AA87B" w:rsidR="000F3905" w:rsidRDefault="000F3905" w:rsidP="000F3905">
      <w:pPr>
        <w:autoSpaceDE w:val="0"/>
        <w:autoSpaceDN w:val="0"/>
        <w:adjustRightInd w:val="0"/>
        <w:rPr>
          <w:rFonts w:cs="Tahoma"/>
          <w:bCs/>
        </w:rPr>
      </w:pPr>
      <w:r w:rsidRPr="0044023A">
        <w:rPr>
          <w:rFonts w:cs="Tahoma"/>
          <w:bCs/>
        </w:rPr>
        <w:t>Il metodo di determinazione dei prezzi di trasferimento utilizzato per questa tipologia di transazione è il TNMM basato su comparabili esterni</w:t>
      </w:r>
      <w:r>
        <w:rPr>
          <w:rFonts w:cs="Tahoma"/>
          <w:bCs/>
        </w:rPr>
        <w:t>.</w:t>
      </w:r>
    </w:p>
    <w:p w14:paraId="5596DB8F" w14:textId="77777777" w:rsidR="000F3905" w:rsidRDefault="000F3905" w:rsidP="001C5ED2">
      <w:pPr>
        <w:pStyle w:val="Paragrafoelenco"/>
        <w:numPr>
          <w:ilvl w:val="0"/>
          <w:numId w:val="28"/>
        </w:numPr>
        <w:autoSpaceDE w:val="0"/>
        <w:autoSpaceDN w:val="0"/>
        <w:adjustRightInd w:val="0"/>
        <w:rPr>
          <w:rFonts w:cs="Tahoma"/>
          <w:b/>
          <w:bCs/>
        </w:rPr>
      </w:pPr>
      <w:r>
        <w:rPr>
          <w:rFonts w:cs="Tahoma"/>
          <w:b/>
          <w:bCs/>
        </w:rPr>
        <w:t>Motivazioni</w:t>
      </w:r>
    </w:p>
    <w:p w14:paraId="0B1F5332" w14:textId="77777777" w:rsidR="000F3905" w:rsidRPr="0044023A" w:rsidRDefault="000F3905" w:rsidP="000F3905">
      <w:pPr>
        <w:autoSpaceDE w:val="0"/>
        <w:autoSpaceDN w:val="0"/>
        <w:adjustRightInd w:val="0"/>
        <w:rPr>
          <w:rFonts w:cs="Tahoma"/>
          <w:bCs/>
        </w:rPr>
      </w:pPr>
      <w:r w:rsidRPr="0044023A">
        <w:rPr>
          <w:rFonts w:cs="Tahoma"/>
          <w:bCs/>
        </w:rPr>
        <w:t>Le Linee Guida OCSE raccomandano che, ove possibile, si debba effettuare una comparazione diretta del prezzo.</w:t>
      </w:r>
    </w:p>
    <w:p w14:paraId="4BC754F8" w14:textId="77777777" w:rsidR="000F3905" w:rsidRPr="0044023A" w:rsidRDefault="000F3905" w:rsidP="000F3905">
      <w:pPr>
        <w:autoSpaceDE w:val="0"/>
        <w:autoSpaceDN w:val="0"/>
        <w:adjustRightInd w:val="0"/>
        <w:rPr>
          <w:rFonts w:cs="Tahoma"/>
          <w:bCs/>
        </w:rPr>
      </w:pPr>
      <w:r w:rsidRPr="0044023A">
        <w:rPr>
          <w:rFonts w:cs="Tahoma"/>
          <w:bCs/>
        </w:rPr>
        <w:t>Nel presente caso, non è stato possibile applicare il metodo CUP in quanto Vimercati e le propria società controllata estera non realizzano operazioni simili con terze parti ed indipendenti ed il Gruppo non dispone di informazioni sui prezzi di transazioni simili realizzate tra terze parti.</w:t>
      </w:r>
    </w:p>
    <w:p w14:paraId="3CABF4FF" w14:textId="74E8A577" w:rsidR="000F3905" w:rsidRPr="0044023A" w:rsidRDefault="00B347C2" w:rsidP="00D53DBF">
      <w:pPr>
        <w:autoSpaceDE w:val="0"/>
        <w:autoSpaceDN w:val="0"/>
        <w:adjustRightInd w:val="0"/>
        <w:rPr>
          <w:rFonts w:cs="Tahoma"/>
          <w:bCs/>
        </w:rPr>
      </w:pPr>
      <w:r w:rsidRPr="0044023A">
        <w:rPr>
          <w:rFonts w:cs="Tahoma"/>
          <w:bCs/>
        </w:rPr>
        <w:t>In mancanza di tale possibilità ed alla luce del fatto che, nell’ambito della transazione aggregata in esame, la controllata</w:t>
      </w:r>
      <w:r>
        <w:rPr>
          <w:rFonts w:cs="Tahoma"/>
          <w:bCs/>
        </w:rPr>
        <w:t xml:space="preserve"> romena assolve la funzione</w:t>
      </w:r>
      <w:r w:rsidRPr="001A1D4D">
        <w:t xml:space="preserve"> di produzione di prodotti </w:t>
      </w:r>
      <w:r w:rsidRPr="00A8351F">
        <w:rPr>
          <w:rFonts w:cs="Tahoma"/>
        </w:rPr>
        <w:t>RUKO, PL7</w:t>
      </w:r>
      <w:r>
        <w:rPr>
          <w:rFonts w:cs="Tahoma"/>
        </w:rPr>
        <w:t xml:space="preserve">, </w:t>
      </w:r>
      <w:r w:rsidRPr="00A8351F">
        <w:rPr>
          <w:rFonts w:cs="Tahoma"/>
        </w:rPr>
        <w:t>HKL</w:t>
      </w:r>
      <w:r>
        <w:rPr>
          <w:rFonts w:cs="Tahoma"/>
        </w:rPr>
        <w:t>, DLS, SHZ, BEL 35up e SZF</w:t>
      </w:r>
      <w:r w:rsidRPr="001A1D4D">
        <w:t xml:space="preserve"> destinati ad essere direttamente distribuiti da VEE al cliente finale BMW</w:t>
      </w:r>
      <w:r w:rsidRPr="0044023A">
        <w:rPr>
          <w:rFonts w:cs="Tahoma"/>
          <w:bCs/>
        </w:rPr>
        <w:t>, al fine di analizzare la redditività realizzata dalla stessa in relazione alle attività alla stessa espressamente attribuite, il metodo più appropriato da applicare deve essere ba</w:t>
      </w:r>
      <w:r>
        <w:rPr>
          <w:rFonts w:cs="Tahoma"/>
          <w:bCs/>
        </w:rPr>
        <w:t xml:space="preserve">sato sul margine espresso come </w:t>
      </w:r>
      <w:r w:rsidRPr="0044023A">
        <w:rPr>
          <w:rFonts w:cs="Tahoma"/>
          <w:bCs/>
        </w:rPr>
        <w:t>percentuale sul totale dei costi sostenuti</w:t>
      </w:r>
      <w:r w:rsidR="00D53DBF">
        <w:rPr>
          <w:rFonts w:cs="Tahoma"/>
          <w:bCs/>
        </w:rPr>
        <w:t>.</w:t>
      </w:r>
    </w:p>
    <w:p w14:paraId="25DC7BF2" w14:textId="34746F82" w:rsidR="000F3905" w:rsidRPr="000D44F9" w:rsidRDefault="000F3905" w:rsidP="000F3905">
      <w:pPr>
        <w:autoSpaceDE w:val="0"/>
        <w:autoSpaceDN w:val="0"/>
        <w:adjustRightInd w:val="0"/>
        <w:rPr>
          <w:rFonts w:cs="Tahoma"/>
          <w:bCs/>
        </w:rPr>
      </w:pPr>
      <w:r w:rsidRPr="0044023A">
        <w:rPr>
          <w:rFonts w:cs="Tahoma"/>
          <w:bCs/>
        </w:rPr>
        <w:t>In relazione ad entrambe le funzioni assolte e le attività svolte dalla controllata romena, è stato adottato il metodo TNMM, rivelandosi più adatto in quanto meno influenzato dalle differenze di trattamento contabile dei costi e dalle differenze funzionali rispetto ai metodi tradizionali sopramenzionati basati sul margine lordo</w:t>
      </w:r>
      <w:r w:rsidRPr="000D44F9">
        <w:rPr>
          <w:rFonts w:cs="Tahoma"/>
          <w:bCs/>
        </w:rPr>
        <w:t>.</w:t>
      </w:r>
    </w:p>
    <w:p w14:paraId="168BAAD0" w14:textId="77777777" w:rsidR="000F3905" w:rsidRDefault="000F3905" w:rsidP="001C5ED2">
      <w:pPr>
        <w:pStyle w:val="Paragrafoelenco"/>
        <w:numPr>
          <w:ilvl w:val="0"/>
          <w:numId w:val="28"/>
        </w:numPr>
        <w:autoSpaceDE w:val="0"/>
        <w:autoSpaceDN w:val="0"/>
        <w:adjustRightInd w:val="0"/>
        <w:rPr>
          <w:rFonts w:cs="Tahoma"/>
          <w:b/>
          <w:bCs/>
        </w:rPr>
      </w:pPr>
      <w:r>
        <w:rPr>
          <w:rFonts w:cs="Tahoma"/>
          <w:b/>
          <w:bCs/>
        </w:rPr>
        <w:t>Parametri a supporto del valore di libera concorrenza</w:t>
      </w:r>
    </w:p>
    <w:p w14:paraId="0724B460" w14:textId="5BEE6E70" w:rsidR="000F3905" w:rsidRPr="000D44F9" w:rsidRDefault="00B347C2" w:rsidP="00393952">
      <w:pPr>
        <w:autoSpaceDE w:val="0"/>
        <w:autoSpaceDN w:val="0"/>
        <w:adjustRightInd w:val="0"/>
        <w:spacing w:after="60"/>
        <w:rPr>
          <w:rFonts w:cs="Tahoma"/>
          <w:bCs/>
        </w:rPr>
      </w:pPr>
      <w:r w:rsidRPr="0044023A">
        <w:rPr>
          <w:rFonts w:cs="Tahoma"/>
          <w:bCs/>
        </w:rPr>
        <w:t>Nella transazione oggetto di analisi, è stato compar</w:t>
      </w:r>
      <w:r>
        <w:rPr>
          <w:rFonts w:cs="Tahoma"/>
          <w:bCs/>
        </w:rPr>
        <w:t xml:space="preserve">ato </w:t>
      </w:r>
      <w:r w:rsidRPr="0044023A">
        <w:rPr>
          <w:rFonts w:cs="Tahoma"/>
          <w:bCs/>
        </w:rPr>
        <w:t xml:space="preserve">il </w:t>
      </w:r>
      <w:r w:rsidRPr="0044023A">
        <w:rPr>
          <w:rFonts w:cs="Tahoma"/>
          <w:bCs/>
          <w:i/>
        </w:rPr>
        <w:t xml:space="preserve">Net </w:t>
      </w:r>
      <w:proofErr w:type="spellStart"/>
      <w:r w:rsidRPr="0044023A">
        <w:rPr>
          <w:rFonts w:cs="Tahoma"/>
          <w:bCs/>
          <w:i/>
        </w:rPr>
        <w:t>cost</w:t>
      </w:r>
      <w:proofErr w:type="spellEnd"/>
      <w:r w:rsidRPr="0044023A">
        <w:rPr>
          <w:rFonts w:cs="Tahoma"/>
          <w:bCs/>
          <w:i/>
        </w:rPr>
        <w:t xml:space="preserve"> plus</w:t>
      </w:r>
      <w:r w:rsidRPr="0044023A">
        <w:rPr>
          <w:rFonts w:cs="Tahoma"/>
          <w:bCs/>
        </w:rPr>
        <w:t>,</w:t>
      </w:r>
      <w:r w:rsidRPr="0044023A">
        <w:rPr>
          <w:rFonts w:cs="Tahoma"/>
          <w:bCs/>
          <w:i/>
        </w:rPr>
        <w:t xml:space="preserve"> </w:t>
      </w:r>
      <w:r w:rsidRPr="0044023A">
        <w:rPr>
          <w:rFonts w:cs="Tahoma"/>
          <w:bCs/>
        </w:rPr>
        <w:t xml:space="preserve">calcolato come rapporto tra risultato operativo e costi totali, conseguito dalla società romena che assolve la funzione di </w:t>
      </w:r>
      <w:r>
        <w:rPr>
          <w:rFonts w:cs="Tahoma"/>
          <w:bCs/>
        </w:rPr>
        <w:t xml:space="preserve">produttore dei prodotti </w:t>
      </w:r>
      <w:r w:rsidRPr="00A8351F">
        <w:rPr>
          <w:rFonts w:cs="Tahoma"/>
        </w:rPr>
        <w:t>RUKO, PL7</w:t>
      </w:r>
      <w:r>
        <w:rPr>
          <w:rFonts w:cs="Tahoma"/>
        </w:rPr>
        <w:t xml:space="preserve">, </w:t>
      </w:r>
      <w:r w:rsidRPr="00A8351F">
        <w:rPr>
          <w:rFonts w:cs="Tahoma"/>
        </w:rPr>
        <w:t>HKL</w:t>
      </w:r>
      <w:r>
        <w:rPr>
          <w:rFonts w:cs="Tahoma"/>
        </w:rPr>
        <w:t>, DLS, SHZ, BEL 35up e SZF</w:t>
      </w:r>
      <w:r w:rsidRPr="001A1D4D">
        <w:t xml:space="preserve"> destinati ad ess</w:t>
      </w:r>
      <w:r>
        <w:t xml:space="preserve">ere direttamente distribuiti dalla stessa </w:t>
      </w:r>
      <w:r w:rsidRPr="001A1D4D">
        <w:t>VEE al cliente finale BMW</w:t>
      </w:r>
      <w:r>
        <w:t xml:space="preserve">, </w:t>
      </w:r>
      <w:r w:rsidRPr="0044023A">
        <w:rPr>
          <w:rFonts w:cs="Tahoma"/>
          <w:bCs/>
        </w:rPr>
        <w:t>con i rispettivi margini conseguiti da soggetti terzi ed indipendenti che svolgono funzioni ed attività similari in mercati geografici comparabili</w:t>
      </w:r>
      <w:r w:rsidR="000F3905" w:rsidRPr="0044023A">
        <w:rPr>
          <w:rFonts w:cs="Tahoma"/>
          <w:bCs/>
        </w:rPr>
        <w:t>.</w:t>
      </w:r>
    </w:p>
    <w:p w14:paraId="26286CF1" w14:textId="77777777" w:rsidR="000F3905" w:rsidRDefault="000F3905" w:rsidP="000F3905">
      <w:pPr>
        <w:autoSpaceDE w:val="0"/>
        <w:autoSpaceDN w:val="0"/>
        <w:adjustRightInd w:val="0"/>
        <w:rPr>
          <w:rFonts w:cs="Tahoma"/>
          <w:bCs/>
        </w:rPr>
      </w:pPr>
      <w:r w:rsidRPr="000D44F9">
        <w:rPr>
          <w:rFonts w:cs="Tahoma"/>
          <w:bCs/>
        </w:rPr>
        <w:lastRenderedPageBreak/>
        <w:t xml:space="preserve">L’analisi di </w:t>
      </w:r>
      <w:r w:rsidRPr="000D44F9">
        <w:rPr>
          <w:rFonts w:cs="Tahoma"/>
          <w:bCs/>
          <w:i/>
        </w:rPr>
        <w:t>benchmark</w:t>
      </w:r>
      <w:r w:rsidRPr="000D44F9">
        <w:rPr>
          <w:rFonts w:cs="Tahoma"/>
          <w:bCs/>
        </w:rPr>
        <w:t xml:space="preserve"> condotta con l’ausilio del database </w:t>
      </w:r>
      <w:r>
        <w:rPr>
          <w:rFonts w:cs="Tahoma"/>
          <w:bCs/>
        </w:rPr>
        <w:t>Orbis</w:t>
      </w:r>
      <w:r w:rsidRPr="000D44F9">
        <w:rPr>
          <w:rFonts w:cs="Tahoma"/>
          <w:bCs/>
        </w:rPr>
        <w:t xml:space="preserve"> ha condotto ai seguenti risultati:</w:t>
      </w:r>
    </w:p>
    <w:tbl>
      <w:tblPr>
        <w:tblW w:w="4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1837"/>
      </w:tblGrid>
      <w:tr w:rsidR="00B347C2" w14:paraId="4C7F005A" w14:textId="77777777" w:rsidTr="00A56D1A">
        <w:trPr>
          <w:trHeight w:val="473"/>
          <w:jc w:val="center"/>
        </w:trPr>
        <w:tc>
          <w:tcPr>
            <w:tcW w:w="4775" w:type="dxa"/>
            <w:gridSpan w:val="2"/>
            <w:shd w:val="clear" w:color="auto" w:fill="00338D"/>
            <w:vAlign w:val="center"/>
          </w:tcPr>
          <w:p w14:paraId="7157B31B" w14:textId="77777777" w:rsidR="00B347C2" w:rsidRPr="00110CB4" w:rsidRDefault="00B347C2" w:rsidP="00A56D1A">
            <w:pPr>
              <w:pStyle w:val="Nessunaspaziatura"/>
              <w:jc w:val="center"/>
              <w:rPr>
                <w:b/>
                <w:color w:val="FFFFFF" w:themeColor="background1"/>
              </w:rPr>
            </w:pPr>
            <w:proofErr w:type="spellStart"/>
            <w:r>
              <w:rPr>
                <w:b/>
                <w:color w:val="FFFFFF" w:themeColor="background1"/>
              </w:rPr>
              <w:t>Range</w:t>
            </w:r>
            <w:proofErr w:type="spellEnd"/>
            <w:r>
              <w:rPr>
                <w:b/>
                <w:color w:val="FFFFFF" w:themeColor="background1"/>
              </w:rPr>
              <w:t xml:space="preserve"> interquartile NCP (2015-2017)</w:t>
            </w:r>
          </w:p>
        </w:tc>
      </w:tr>
      <w:tr w:rsidR="00B347C2" w14:paraId="124EC3F4" w14:textId="77777777" w:rsidTr="00A56D1A">
        <w:trPr>
          <w:trHeight w:val="306"/>
          <w:jc w:val="center"/>
        </w:trPr>
        <w:tc>
          <w:tcPr>
            <w:tcW w:w="2938" w:type="dxa"/>
            <w:shd w:val="clear" w:color="auto" w:fill="auto"/>
          </w:tcPr>
          <w:p w14:paraId="3F3D6C1D" w14:textId="77777777" w:rsidR="00B347C2" w:rsidRPr="00110CB4" w:rsidRDefault="00B347C2" w:rsidP="00A56D1A">
            <w:pPr>
              <w:pStyle w:val="Nessunaspaziatura"/>
              <w:rPr>
                <w:b/>
                <w:i/>
              </w:rPr>
            </w:pPr>
            <w:r>
              <w:rPr>
                <w:b/>
                <w:i/>
              </w:rPr>
              <w:t>Società comparabili</w:t>
            </w:r>
          </w:p>
        </w:tc>
        <w:tc>
          <w:tcPr>
            <w:tcW w:w="1837" w:type="dxa"/>
            <w:shd w:val="clear" w:color="auto" w:fill="auto"/>
          </w:tcPr>
          <w:p w14:paraId="32697232" w14:textId="77777777" w:rsidR="00B347C2" w:rsidRPr="00110CB4" w:rsidRDefault="00B347C2" w:rsidP="00A56D1A">
            <w:pPr>
              <w:pStyle w:val="Nessunaspaziatura"/>
              <w:jc w:val="center"/>
            </w:pPr>
            <w:r>
              <w:t>8</w:t>
            </w:r>
          </w:p>
        </w:tc>
      </w:tr>
      <w:tr w:rsidR="00B347C2" w14:paraId="01DAF2F8" w14:textId="77777777" w:rsidTr="00A56D1A">
        <w:trPr>
          <w:trHeight w:val="306"/>
          <w:jc w:val="center"/>
        </w:trPr>
        <w:tc>
          <w:tcPr>
            <w:tcW w:w="2938" w:type="dxa"/>
            <w:shd w:val="clear" w:color="auto" w:fill="auto"/>
          </w:tcPr>
          <w:p w14:paraId="72C02EAB" w14:textId="77777777" w:rsidR="00B347C2" w:rsidRPr="00110CB4" w:rsidRDefault="00B347C2" w:rsidP="00A56D1A">
            <w:pPr>
              <w:pStyle w:val="Nessunaspaziatura"/>
              <w:rPr>
                <w:b/>
                <w:i/>
              </w:rPr>
            </w:pPr>
            <w:r>
              <w:rPr>
                <w:b/>
                <w:i/>
              </w:rPr>
              <w:t>Massimo</w:t>
            </w:r>
          </w:p>
        </w:tc>
        <w:tc>
          <w:tcPr>
            <w:tcW w:w="1837" w:type="dxa"/>
            <w:shd w:val="clear" w:color="auto" w:fill="auto"/>
            <w:vAlign w:val="center"/>
          </w:tcPr>
          <w:p w14:paraId="51CB5DD1" w14:textId="77777777" w:rsidR="00B347C2" w:rsidRPr="00110CB4" w:rsidRDefault="00B347C2" w:rsidP="00A56D1A">
            <w:pPr>
              <w:pStyle w:val="Nessunaspaziatura"/>
              <w:jc w:val="center"/>
            </w:pPr>
            <w:r w:rsidRPr="00C2643A">
              <w:rPr>
                <w:rFonts w:cs="Times New Roman"/>
                <w:szCs w:val="20"/>
              </w:rPr>
              <w:t>47,3%</w:t>
            </w:r>
          </w:p>
        </w:tc>
      </w:tr>
      <w:tr w:rsidR="00B347C2" w14:paraId="0D11B591" w14:textId="77777777" w:rsidTr="00A56D1A">
        <w:trPr>
          <w:trHeight w:val="306"/>
          <w:jc w:val="center"/>
        </w:trPr>
        <w:tc>
          <w:tcPr>
            <w:tcW w:w="2938" w:type="dxa"/>
            <w:shd w:val="clear" w:color="auto" w:fill="auto"/>
          </w:tcPr>
          <w:p w14:paraId="47A7D7FB" w14:textId="77777777" w:rsidR="00B347C2" w:rsidRPr="00110CB4" w:rsidRDefault="00B347C2" w:rsidP="00A56D1A">
            <w:pPr>
              <w:pStyle w:val="Nessunaspaziatura"/>
              <w:rPr>
                <w:b/>
                <w:i/>
              </w:rPr>
            </w:pPr>
            <w:r>
              <w:rPr>
                <w:b/>
                <w:i/>
              </w:rPr>
              <w:t>75° percentile</w:t>
            </w:r>
          </w:p>
        </w:tc>
        <w:tc>
          <w:tcPr>
            <w:tcW w:w="1837" w:type="dxa"/>
            <w:shd w:val="clear" w:color="auto" w:fill="auto"/>
            <w:vAlign w:val="center"/>
          </w:tcPr>
          <w:p w14:paraId="0D158165" w14:textId="77777777" w:rsidR="00B347C2" w:rsidRPr="00110CB4" w:rsidRDefault="00B347C2" w:rsidP="00A56D1A">
            <w:pPr>
              <w:pStyle w:val="Nessunaspaziatura"/>
              <w:jc w:val="center"/>
            </w:pPr>
            <w:r w:rsidRPr="00C2643A">
              <w:rPr>
                <w:rFonts w:cs="Times New Roman"/>
                <w:szCs w:val="20"/>
              </w:rPr>
              <w:t>34,1%</w:t>
            </w:r>
          </w:p>
        </w:tc>
      </w:tr>
      <w:tr w:rsidR="00B347C2" w14:paraId="057A5A02" w14:textId="77777777" w:rsidTr="00A56D1A">
        <w:trPr>
          <w:trHeight w:val="306"/>
          <w:jc w:val="center"/>
        </w:trPr>
        <w:tc>
          <w:tcPr>
            <w:tcW w:w="2938" w:type="dxa"/>
            <w:shd w:val="clear" w:color="auto" w:fill="auto"/>
          </w:tcPr>
          <w:p w14:paraId="7B6F4627" w14:textId="77777777" w:rsidR="00B347C2" w:rsidRPr="00110CB4" w:rsidRDefault="00B347C2" w:rsidP="00A56D1A">
            <w:pPr>
              <w:pStyle w:val="Nessunaspaziatura"/>
              <w:rPr>
                <w:b/>
                <w:i/>
              </w:rPr>
            </w:pPr>
            <w:r>
              <w:rPr>
                <w:b/>
                <w:i/>
              </w:rPr>
              <w:t>Mediana</w:t>
            </w:r>
          </w:p>
        </w:tc>
        <w:tc>
          <w:tcPr>
            <w:tcW w:w="1837" w:type="dxa"/>
            <w:shd w:val="clear" w:color="auto" w:fill="auto"/>
            <w:vAlign w:val="center"/>
          </w:tcPr>
          <w:p w14:paraId="76E33522" w14:textId="77777777" w:rsidR="00B347C2" w:rsidRPr="00110CB4" w:rsidRDefault="00B347C2" w:rsidP="00A56D1A">
            <w:pPr>
              <w:pStyle w:val="Nessunaspaziatura"/>
              <w:jc w:val="center"/>
            </w:pPr>
            <w:r w:rsidRPr="00C2643A">
              <w:rPr>
                <w:rFonts w:cs="Times New Roman"/>
                <w:b/>
                <w:bCs/>
                <w:szCs w:val="20"/>
              </w:rPr>
              <w:t>18,4%</w:t>
            </w:r>
          </w:p>
        </w:tc>
      </w:tr>
      <w:tr w:rsidR="00B347C2" w14:paraId="01A2367C" w14:textId="77777777" w:rsidTr="00A56D1A">
        <w:trPr>
          <w:trHeight w:val="306"/>
          <w:jc w:val="center"/>
        </w:trPr>
        <w:tc>
          <w:tcPr>
            <w:tcW w:w="2938" w:type="dxa"/>
            <w:shd w:val="clear" w:color="auto" w:fill="auto"/>
          </w:tcPr>
          <w:p w14:paraId="41DBAD8F" w14:textId="77777777" w:rsidR="00B347C2" w:rsidRDefault="00B347C2" w:rsidP="00A56D1A">
            <w:pPr>
              <w:pStyle w:val="Nessunaspaziatura"/>
              <w:rPr>
                <w:b/>
                <w:i/>
              </w:rPr>
            </w:pPr>
            <w:r>
              <w:rPr>
                <w:b/>
                <w:i/>
              </w:rPr>
              <w:t>25° percentile</w:t>
            </w:r>
          </w:p>
        </w:tc>
        <w:tc>
          <w:tcPr>
            <w:tcW w:w="1837" w:type="dxa"/>
            <w:shd w:val="clear" w:color="auto" w:fill="auto"/>
            <w:vAlign w:val="center"/>
          </w:tcPr>
          <w:p w14:paraId="239E0E95" w14:textId="77777777" w:rsidR="00B347C2" w:rsidRPr="00110CB4" w:rsidRDefault="00B347C2" w:rsidP="00A56D1A">
            <w:pPr>
              <w:pStyle w:val="Nessunaspaziatura"/>
              <w:jc w:val="center"/>
            </w:pPr>
            <w:r w:rsidRPr="00C2643A">
              <w:rPr>
                <w:rFonts w:cs="Times New Roman"/>
                <w:szCs w:val="20"/>
              </w:rPr>
              <w:t>4,9%</w:t>
            </w:r>
          </w:p>
        </w:tc>
      </w:tr>
      <w:tr w:rsidR="00B347C2" w14:paraId="7731F668" w14:textId="77777777" w:rsidTr="00A56D1A">
        <w:trPr>
          <w:trHeight w:val="306"/>
          <w:jc w:val="center"/>
        </w:trPr>
        <w:tc>
          <w:tcPr>
            <w:tcW w:w="2938" w:type="dxa"/>
            <w:shd w:val="clear" w:color="auto" w:fill="auto"/>
          </w:tcPr>
          <w:p w14:paraId="4710EA0B" w14:textId="77777777" w:rsidR="00B347C2" w:rsidRDefault="00B347C2" w:rsidP="00A56D1A">
            <w:pPr>
              <w:pStyle w:val="Nessunaspaziatura"/>
              <w:rPr>
                <w:b/>
                <w:i/>
              </w:rPr>
            </w:pPr>
            <w:r>
              <w:rPr>
                <w:b/>
                <w:i/>
              </w:rPr>
              <w:t>Minimo</w:t>
            </w:r>
          </w:p>
        </w:tc>
        <w:tc>
          <w:tcPr>
            <w:tcW w:w="1837" w:type="dxa"/>
            <w:shd w:val="clear" w:color="auto" w:fill="auto"/>
            <w:vAlign w:val="center"/>
          </w:tcPr>
          <w:p w14:paraId="6EEF8E46" w14:textId="77777777" w:rsidR="00B347C2" w:rsidRPr="00110CB4" w:rsidRDefault="00B347C2" w:rsidP="00A56D1A">
            <w:pPr>
              <w:pStyle w:val="Nessunaspaziatura"/>
              <w:jc w:val="center"/>
            </w:pPr>
            <w:r w:rsidRPr="00C2643A">
              <w:rPr>
                <w:rFonts w:cs="Times New Roman"/>
                <w:szCs w:val="20"/>
              </w:rPr>
              <w:t>2,4%</w:t>
            </w:r>
          </w:p>
        </w:tc>
      </w:tr>
    </w:tbl>
    <w:p w14:paraId="66A6469C" w14:textId="45588EFC" w:rsidR="000F3905" w:rsidRPr="000D44F9" w:rsidRDefault="000F3905" w:rsidP="000F3905">
      <w:pPr>
        <w:autoSpaceDE w:val="0"/>
        <w:autoSpaceDN w:val="0"/>
        <w:adjustRightInd w:val="0"/>
        <w:rPr>
          <w:rFonts w:cs="Tahoma"/>
          <w:bCs/>
        </w:rPr>
      </w:pPr>
      <w:r w:rsidRPr="000D44F9">
        <w:rPr>
          <w:rFonts w:cs="Tahoma"/>
          <w:bCs/>
        </w:rPr>
        <w:t xml:space="preserve">La controllata romena, quando assolve la funzione di </w:t>
      </w:r>
      <w:r w:rsidR="00BF3CBA">
        <w:rPr>
          <w:rFonts w:cs="Tahoma"/>
          <w:bCs/>
        </w:rPr>
        <w:t xml:space="preserve">produttore di prodotti </w:t>
      </w:r>
      <w:r w:rsidR="00BF3CBA" w:rsidRPr="001A1D4D">
        <w:t>destinati ad ess</w:t>
      </w:r>
      <w:r w:rsidR="00BF3CBA">
        <w:t xml:space="preserve">ere direttamente distribuiti dalla stessa </w:t>
      </w:r>
      <w:r w:rsidR="00BF3CBA" w:rsidRPr="001A1D4D">
        <w:t xml:space="preserve">VEE </w:t>
      </w:r>
      <w:r w:rsidR="001E3F32">
        <w:t>ai clienti finali</w:t>
      </w:r>
      <w:r w:rsidRPr="000D44F9">
        <w:rPr>
          <w:rFonts w:cs="Tahoma"/>
          <w:bCs/>
        </w:rPr>
        <w:t xml:space="preserve">, consegue un margine netto pari al </w:t>
      </w:r>
      <w:r w:rsidR="00B347C2">
        <w:rPr>
          <w:rFonts w:cs="Tahoma"/>
          <w:bCs/>
        </w:rPr>
        <w:t>14,2%</w:t>
      </w:r>
    </w:p>
    <w:p w14:paraId="13EFB2B4" w14:textId="77777777" w:rsidR="000F3905" w:rsidRDefault="000F3905" w:rsidP="000F3905">
      <w:pPr>
        <w:autoSpaceDE w:val="0"/>
        <w:autoSpaceDN w:val="0"/>
        <w:adjustRightInd w:val="0"/>
        <w:rPr>
          <w:rFonts w:cs="Tahoma"/>
          <w:bCs/>
        </w:rPr>
      </w:pPr>
      <w:r w:rsidRPr="000D44F9">
        <w:rPr>
          <w:rFonts w:cs="Tahoma"/>
          <w:bCs/>
        </w:rPr>
        <w:t xml:space="preserve">Pertanto, il confronto mostra che VEE ha realizzato un margine che ricade all’interno dell’intervallo </w:t>
      </w:r>
      <w:r w:rsidRPr="000D44F9">
        <w:rPr>
          <w:rFonts w:cs="Tahoma"/>
          <w:bCs/>
          <w:i/>
        </w:rPr>
        <w:t xml:space="preserve">arm’s </w:t>
      </w:r>
      <w:proofErr w:type="spellStart"/>
      <w:r w:rsidRPr="000D44F9">
        <w:rPr>
          <w:rFonts w:cs="Tahoma"/>
          <w:bCs/>
          <w:i/>
        </w:rPr>
        <w:t>lenght</w:t>
      </w:r>
      <w:proofErr w:type="spellEnd"/>
      <w:r w:rsidRPr="000D44F9">
        <w:rPr>
          <w:rFonts w:cs="Tahoma"/>
          <w:bCs/>
        </w:rPr>
        <w:t xml:space="preserve"> e, conseguentemente, si può concludere che la transazione è conforme al principio di libera concorrenza.</w:t>
      </w:r>
    </w:p>
    <w:p w14:paraId="6DA769AC" w14:textId="77777777" w:rsidR="000F3905" w:rsidRDefault="000F3905" w:rsidP="001C5ED2">
      <w:pPr>
        <w:pStyle w:val="Paragrafoelenco"/>
        <w:numPr>
          <w:ilvl w:val="0"/>
          <w:numId w:val="28"/>
        </w:numPr>
        <w:autoSpaceDE w:val="0"/>
        <w:autoSpaceDN w:val="0"/>
        <w:adjustRightInd w:val="0"/>
        <w:rPr>
          <w:rFonts w:cs="Tahoma"/>
          <w:b/>
          <w:bCs/>
        </w:rPr>
      </w:pPr>
      <w:commentRangeStart w:id="90"/>
      <w:r>
        <w:rPr>
          <w:rFonts w:cs="Tahoma"/>
          <w:b/>
          <w:bCs/>
        </w:rPr>
        <w:t>Contesto contrattuale</w:t>
      </w:r>
      <w:commentRangeEnd w:id="90"/>
      <w:r w:rsidR="00B347C2">
        <w:rPr>
          <w:rStyle w:val="Rimandocommento"/>
        </w:rPr>
        <w:commentReference w:id="90"/>
      </w:r>
    </w:p>
    <w:p w14:paraId="20574363" w14:textId="77777777" w:rsidR="0087600B" w:rsidRPr="00620B58" w:rsidRDefault="0087600B" w:rsidP="0087600B">
      <w:pPr>
        <w:autoSpaceDE w:val="0"/>
        <w:autoSpaceDN w:val="0"/>
        <w:adjustRightInd w:val="0"/>
        <w:spacing w:after="60"/>
        <w:rPr>
          <w:rFonts w:cs="Tahoma"/>
          <w:bCs/>
        </w:rPr>
      </w:pPr>
      <w:r w:rsidRPr="00620B58">
        <w:rPr>
          <w:rFonts w:cs="Tahoma"/>
          <w:bCs/>
        </w:rPr>
        <w:t>Le transazioni oggetto di analisi sono regolate dai seguenti contratti:</w:t>
      </w:r>
    </w:p>
    <w:p w14:paraId="4EC0E6A9" w14:textId="77777777" w:rsidR="0087600B" w:rsidRPr="00620B58" w:rsidRDefault="0087600B" w:rsidP="0087600B">
      <w:pPr>
        <w:numPr>
          <w:ilvl w:val="0"/>
          <w:numId w:val="24"/>
        </w:numPr>
        <w:spacing w:before="60" w:after="60"/>
        <w:ind w:left="714" w:hanging="357"/>
        <w:rPr>
          <w:rFonts w:cs="Tahoma"/>
        </w:rPr>
      </w:pPr>
      <w:r w:rsidRPr="00A61BF7">
        <w:rPr>
          <w:rFonts w:cs="Tahoma"/>
          <w:highlight w:val="yellow"/>
        </w:rPr>
        <w:t>Contratto n. 21 del 04.01.2016</w:t>
      </w:r>
      <w:r w:rsidRPr="00620B58">
        <w:rPr>
          <w:rFonts w:cs="Tahoma"/>
        </w:rPr>
        <w:t xml:space="preserve"> ad oggetto prestazioni di servizi funzionali per la produzione dei prodotti </w:t>
      </w:r>
      <w:r w:rsidRPr="00A8351F">
        <w:rPr>
          <w:rFonts w:cs="Tahoma"/>
        </w:rPr>
        <w:t>RUKO, PL7</w:t>
      </w:r>
      <w:r>
        <w:rPr>
          <w:rFonts w:cs="Tahoma"/>
        </w:rPr>
        <w:t xml:space="preserve">, </w:t>
      </w:r>
      <w:r w:rsidRPr="00A8351F">
        <w:rPr>
          <w:rFonts w:cs="Tahoma"/>
        </w:rPr>
        <w:t>HKL</w:t>
      </w:r>
      <w:r>
        <w:rPr>
          <w:rFonts w:cs="Tahoma"/>
        </w:rPr>
        <w:t>, DLS, SHZ, BEL 35up e SZF</w:t>
      </w:r>
      <w:r w:rsidRPr="00620B58">
        <w:rPr>
          <w:rFonts w:cs="Tahoma"/>
        </w:rPr>
        <w:t xml:space="preserve"> rese da Vimercati in favore di VEE;</w:t>
      </w:r>
      <w:bookmarkStart w:id="91" w:name="_GoBack"/>
      <w:bookmarkEnd w:id="91"/>
    </w:p>
    <w:p w14:paraId="595DC17D" w14:textId="77777777" w:rsidR="0087600B" w:rsidRPr="00620B58" w:rsidRDefault="0087600B" w:rsidP="0087600B">
      <w:pPr>
        <w:numPr>
          <w:ilvl w:val="0"/>
          <w:numId w:val="24"/>
        </w:numPr>
        <w:spacing w:before="60" w:after="60"/>
        <w:ind w:left="714" w:hanging="357"/>
        <w:rPr>
          <w:rFonts w:cs="Tahoma"/>
        </w:rPr>
      </w:pPr>
      <w:r w:rsidRPr="00620B58">
        <w:rPr>
          <w:rFonts w:cs="Tahoma"/>
        </w:rPr>
        <w:t xml:space="preserve">Contratto n. </w:t>
      </w:r>
      <w:r>
        <w:rPr>
          <w:rFonts w:cs="Tahoma"/>
        </w:rPr>
        <w:t>3003</w:t>
      </w:r>
      <w:r w:rsidRPr="00620B58">
        <w:rPr>
          <w:rFonts w:cs="Tahoma"/>
        </w:rPr>
        <w:t xml:space="preserve"> del </w:t>
      </w:r>
      <w:r>
        <w:rPr>
          <w:rFonts w:cs="Tahoma"/>
        </w:rPr>
        <w:t xml:space="preserve">01.09.2017 </w:t>
      </w:r>
      <w:r w:rsidRPr="00620B58">
        <w:rPr>
          <w:rFonts w:cs="Tahoma"/>
        </w:rPr>
        <w:t xml:space="preserve">avente ad oggetto la locazione a VEE dei macchinari per la produzione dei prodotti </w:t>
      </w:r>
      <w:r w:rsidRPr="008E2130">
        <w:rPr>
          <w:rFonts w:cs="Tahoma"/>
          <w:highlight w:val="yellow"/>
        </w:rPr>
        <w:t>RUKO, PL7, HKL, DLS, SHZ, BEL 35up e SZF</w:t>
      </w:r>
      <w:r>
        <w:rPr>
          <w:rFonts w:cs="Tahoma"/>
        </w:rPr>
        <w:t xml:space="preserve"> </w:t>
      </w:r>
      <w:r w:rsidRPr="00620B58">
        <w:rPr>
          <w:rFonts w:cs="Tahoma"/>
        </w:rPr>
        <w:t>da parte di Vimercati.</w:t>
      </w:r>
    </w:p>
    <w:p w14:paraId="7CD4C3B4" w14:textId="77777777" w:rsidR="0087600B" w:rsidRPr="00620B58" w:rsidRDefault="0087600B" w:rsidP="0087600B">
      <w:pPr>
        <w:numPr>
          <w:ilvl w:val="0"/>
          <w:numId w:val="24"/>
        </w:numPr>
        <w:spacing w:before="60" w:after="60"/>
        <w:ind w:left="714" w:hanging="357"/>
        <w:rPr>
          <w:rFonts w:cs="Tahoma"/>
        </w:rPr>
      </w:pPr>
      <w:r w:rsidRPr="00620B58">
        <w:rPr>
          <w:rFonts w:cs="Tahoma"/>
        </w:rPr>
        <w:t xml:space="preserve">Contratto n. </w:t>
      </w:r>
      <w:r>
        <w:rPr>
          <w:rFonts w:cs="Tahoma"/>
        </w:rPr>
        <w:t xml:space="preserve">3004 </w:t>
      </w:r>
      <w:r w:rsidRPr="00620B58">
        <w:rPr>
          <w:rFonts w:cs="Tahoma"/>
        </w:rPr>
        <w:t xml:space="preserve">del </w:t>
      </w:r>
      <w:r>
        <w:rPr>
          <w:rFonts w:cs="Tahoma"/>
        </w:rPr>
        <w:t>01.09.2017</w:t>
      </w:r>
      <w:r w:rsidRPr="00620B58">
        <w:rPr>
          <w:rFonts w:cs="Tahoma"/>
        </w:rPr>
        <w:t xml:space="preserve"> avente ad oggetto la concessione ed il trasferimento a VEE di licenze e di know-how relativi alla produzione di </w:t>
      </w:r>
      <w:r w:rsidRPr="008E2130">
        <w:rPr>
          <w:rFonts w:cs="Tahoma"/>
          <w:highlight w:val="yellow"/>
        </w:rPr>
        <w:t>RUKO, PL7, HKL, DLS, SHZ, BEL 35up e SZF</w:t>
      </w:r>
      <w:r w:rsidRPr="00620B58">
        <w:rPr>
          <w:rFonts w:cs="Tahoma"/>
        </w:rPr>
        <w:t xml:space="preserve"> da parte di Vimercati.</w:t>
      </w:r>
    </w:p>
    <w:p w14:paraId="0964D4CB" w14:textId="77777777" w:rsidR="0087600B" w:rsidRPr="00D6298F" w:rsidRDefault="0087600B" w:rsidP="0087600B">
      <w:pPr>
        <w:pStyle w:val="Paragrafoelenco"/>
        <w:autoSpaceDE w:val="0"/>
        <w:autoSpaceDN w:val="0"/>
        <w:adjustRightInd w:val="0"/>
        <w:ind w:left="0"/>
        <w:contextualSpacing w:val="0"/>
        <w:rPr>
          <w:rFonts w:cs="Tahoma"/>
          <w:bCs/>
        </w:rPr>
      </w:pPr>
      <w:r w:rsidRPr="00D6298F">
        <w:rPr>
          <w:rFonts w:cs="Tahoma"/>
          <w:bCs/>
        </w:rPr>
        <w:t xml:space="preserve">Il Contratto n. </w:t>
      </w:r>
      <w:r>
        <w:rPr>
          <w:rFonts w:cs="Tahoma"/>
          <w:bCs/>
        </w:rPr>
        <w:t>21</w:t>
      </w:r>
      <w:r w:rsidRPr="00D6298F">
        <w:rPr>
          <w:rFonts w:cs="Tahoma"/>
          <w:bCs/>
        </w:rPr>
        <w:t xml:space="preserve"> prevede il riaddebito di “</w:t>
      </w:r>
      <w:proofErr w:type="spellStart"/>
      <w:r w:rsidRPr="00D6298F">
        <w:rPr>
          <w:rFonts w:cs="Tahoma"/>
          <w:bCs/>
        </w:rPr>
        <w:t>fees</w:t>
      </w:r>
      <w:proofErr w:type="spellEnd"/>
      <w:r w:rsidRPr="00D6298F">
        <w:rPr>
          <w:rFonts w:cs="Tahoma"/>
          <w:bCs/>
        </w:rPr>
        <w:t>” pari all’ 8% del fatturato ottenuto da VEE sulle vendite</w:t>
      </w:r>
      <w:r>
        <w:rPr>
          <w:rFonts w:cs="Tahoma"/>
          <w:bCs/>
        </w:rPr>
        <w:t xml:space="preserve"> dei prodotti </w:t>
      </w:r>
      <w:r w:rsidRPr="00A8351F">
        <w:rPr>
          <w:rFonts w:cs="Tahoma"/>
        </w:rPr>
        <w:t>RUKO, PL7</w:t>
      </w:r>
      <w:r>
        <w:rPr>
          <w:rFonts w:cs="Tahoma"/>
        </w:rPr>
        <w:t xml:space="preserve">, </w:t>
      </w:r>
      <w:r w:rsidRPr="00A8351F">
        <w:rPr>
          <w:rFonts w:cs="Tahoma"/>
        </w:rPr>
        <w:t>HKL</w:t>
      </w:r>
      <w:r>
        <w:rPr>
          <w:rFonts w:cs="Tahoma"/>
        </w:rPr>
        <w:t>, DLS, SHZ, BEL 35up e SZF</w:t>
      </w:r>
      <w:r>
        <w:rPr>
          <w:rFonts w:cs="Tahoma"/>
          <w:bCs/>
        </w:rPr>
        <w:t xml:space="preserve">. </w:t>
      </w:r>
    </w:p>
    <w:p w14:paraId="7C4421B8" w14:textId="77777777" w:rsidR="0087600B" w:rsidRPr="00D6298F" w:rsidRDefault="0087600B" w:rsidP="0087600B">
      <w:pPr>
        <w:pStyle w:val="Paragrafoelenco"/>
        <w:autoSpaceDE w:val="0"/>
        <w:autoSpaceDN w:val="0"/>
        <w:adjustRightInd w:val="0"/>
        <w:ind w:left="0"/>
        <w:contextualSpacing w:val="0"/>
        <w:rPr>
          <w:rFonts w:cs="Tahoma"/>
          <w:bCs/>
        </w:rPr>
      </w:pPr>
      <w:r w:rsidRPr="00543177">
        <w:rPr>
          <w:rFonts w:cs="Tahoma"/>
          <w:bCs/>
          <w:highlight w:val="yellow"/>
        </w:rPr>
        <w:t xml:space="preserve">Il Contratto n. 3003 relativo alla locazione di macchinari e stampi che vengono locati alla VEE da Vimercati per la produzione di </w:t>
      </w:r>
      <w:r w:rsidRPr="00543177">
        <w:rPr>
          <w:rFonts w:cs="Tahoma"/>
          <w:highlight w:val="yellow"/>
        </w:rPr>
        <w:t>RUKO, PL7, HKL, DLS, SHZ, BEL 35up e SZF</w:t>
      </w:r>
      <w:r w:rsidRPr="00543177">
        <w:rPr>
          <w:rFonts w:cs="Tahoma"/>
          <w:bCs/>
          <w:highlight w:val="yellow"/>
        </w:rPr>
        <w:t>, prevede la corresponsione di canoni di locazione per un importo complessivo pari a Euro 1.058.000.</w:t>
      </w:r>
      <w:r w:rsidRPr="00D6298F">
        <w:rPr>
          <w:rFonts w:cs="Tahoma"/>
          <w:bCs/>
        </w:rPr>
        <w:t xml:space="preserve"> Tale canone è stato determinato sulla base dei costi sostenuti per l’acquisto di tali macchinari, suddivisi</w:t>
      </w:r>
      <w:r>
        <w:rPr>
          <w:rFonts w:cs="Tahoma"/>
          <w:bCs/>
        </w:rPr>
        <w:t xml:space="preserve"> sul loro ciclo di vita atteso.</w:t>
      </w:r>
    </w:p>
    <w:p w14:paraId="5CCE95F7" w14:textId="77777777" w:rsidR="0087600B" w:rsidRPr="00D6298F" w:rsidRDefault="0087600B" w:rsidP="0087600B">
      <w:pPr>
        <w:pStyle w:val="Paragrafoelenco"/>
        <w:autoSpaceDE w:val="0"/>
        <w:autoSpaceDN w:val="0"/>
        <w:adjustRightInd w:val="0"/>
        <w:ind w:left="0"/>
        <w:contextualSpacing w:val="0"/>
        <w:rPr>
          <w:rFonts w:cs="Tahoma"/>
          <w:bCs/>
        </w:rPr>
      </w:pPr>
      <w:r w:rsidRPr="00543177">
        <w:rPr>
          <w:rFonts w:cs="Tahoma"/>
          <w:bCs/>
          <w:highlight w:val="yellow"/>
        </w:rPr>
        <w:t>Il Contratto n. 3004 relativo alla concessione della licenza per la produzione dei prodotti sopra citati, nonché il trasferimento di specifico know-how relativo alla loro produzione, prevede l’erogazione di un corrispettivo, pari ad Euro 316.400,</w:t>
      </w:r>
      <w:r w:rsidRPr="00D6298F">
        <w:rPr>
          <w:rFonts w:cs="Tahoma"/>
          <w:bCs/>
        </w:rPr>
        <w:t xml:space="preserve"> calcolato sulla base dei costi sostenuti per l’ingegnerizzazione dei tre prodotti. Il totale di tali costi è stato poi suddiviso sul ciclo di vita atteso dei prodotti e sui volumi di produzione stimati.</w:t>
      </w:r>
    </w:p>
    <w:p w14:paraId="7C5C03F6" w14:textId="77777777" w:rsidR="0087600B" w:rsidRPr="00D6298F" w:rsidRDefault="0087600B" w:rsidP="0087600B">
      <w:pPr>
        <w:autoSpaceDE w:val="0"/>
        <w:autoSpaceDN w:val="0"/>
        <w:adjustRightInd w:val="0"/>
        <w:rPr>
          <w:rFonts w:cs="Tahoma"/>
          <w:bCs/>
        </w:rPr>
      </w:pPr>
      <w:r w:rsidRPr="00D6298F">
        <w:rPr>
          <w:rFonts w:cs="Tahoma"/>
          <w:bCs/>
        </w:rPr>
        <w:t xml:space="preserve">La cessione dei componenti da assemblare per la realizzazione dei prodotti della linea </w:t>
      </w:r>
      <w:r w:rsidRPr="008E2130">
        <w:rPr>
          <w:rFonts w:cs="Tahoma"/>
          <w:highlight w:val="yellow"/>
        </w:rPr>
        <w:t>RUKO, PL7, HKL, DLS, SHZ, BEL 35up e SZF</w:t>
      </w:r>
      <w:r w:rsidRPr="00D6298F">
        <w:rPr>
          <w:rFonts w:cs="Tahoma"/>
          <w:bCs/>
        </w:rPr>
        <w:t xml:space="preserve"> non è regolata da alcun specifico contratto.</w:t>
      </w:r>
    </w:p>
    <w:p w14:paraId="77DBB717" w14:textId="77777777" w:rsidR="0087600B" w:rsidRPr="00D6298F" w:rsidRDefault="0087600B" w:rsidP="00D6298F">
      <w:pPr>
        <w:autoSpaceDE w:val="0"/>
        <w:autoSpaceDN w:val="0"/>
        <w:adjustRightInd w:val="0"/>
        <w:rPr>
          <w:rFonts w:cs="Tahoma"/>
          <w:bCs/>
        </w:rPr>
      </w:pPr>
    </w:p>
    <w:p w14:paraId="2D03B71C" w14:textId="35AA5FA6" w:rsidR="00D6298F" w:rsidRDefault="00D6298F" w:rsidP="00D6298F">
      <w:pPr>
        <w:pStyle w:val="Titolo2"/>
        <w:numPr>
          <w:ilvl w:val="1"/>
          <w:numId w:val="5"/>
        </w:numPr>
      </w:pPr>
      <w:bookmarkStart w:id="92" w:name="_Toc25674108"/>
      <w:r>
        <w:lastRenderedPageBreak/>
        <w:t>Transazione T</w:t>
      </w:r>
      <w:r w:rsidR="00DA4B92">
        <w:t>3</w:t>
      </w:r>
      <w:r>
        <w:t xml:space="preserve"> – Acquisto di componenti</w:t>
      </w:r>
      <w:bookmarkEnd w:id="92"/>
    </w:p>
    <w:p w14:paraId="0294890A" w14:textId="77777777" w:rsidR="00D6298F" w:rsidRPr="000F3905" w:rsidRDefault="00D6298F" w:rsidP="00D6298F">
      <w:pPr>
        <w:pStyle w:val="Paragrafoelenco"/>
        <w:keepNext/>
        <w:numPr>
          <w:ilvl w:val="0"/>
          <w:numId w:val="25"/>
        </w:numPr>
        <w:autoSpaceDE w:val="0"/>
        <w:autoSpaceDN w:val="0"/>
        <w:adjustRightInd w:val="0"/>
        <w:ind w:left="714" w:hanging="357"/>
        <w:rPr>
          <w:rFonts w:cs="Tahoma"/>
          <w:b/>
          <w:bCs/>
        </w:rPr>
      </w:pPr>
      <w:r w:rsidRPr="000F3905">
        <w:rPr>
          <w:rFonts w:cs="Tahoma"/>
          <w:b/>
          <w:bCs/>
        </w:rPr>
        <w:t>Metodo selezionato</w:t>
      </w:r>
    </w:p>
    <w:p w14:paraId="1759EC46" w14:textId="33CE6E81" w:rsidR="00D6298F" w:rsidRDefault="00D6298F" w:rsidP="00D6298F">
      <w:pPr>
        <w:autoSpaceDE w:val="0"/>
        <w:autoSpaceDN w:val="0"/>
        <w:adjustRightInd w:val="0"/>
        <w:rPr>
          <w:rFonts w:cs="Tahoma"/>
          <w:bCs/>
        </w:rPr>
      </w:pPr>
      <w:r w:rsidRPr="00620B58">
        <w:rPr>
          <w:rFonts w:eastAsia="Calibri" w:cs="Tahoma"/>
        </w:rPr>
        <w:t xml:space="preserve">Con riferimento alle transazioni descritte nel paragrafo </w:t>
      </w:r>
      <w:r w:rsidRPr="008A2767">
        <w:rPr>
          <w:rFonts w:eastAsia="Calibri" w:cs="Tahoma"/>
        </w:rPr>
        <w:t>5.</w:t>
      </w:r>
      <w:r w:rsidR="00397197" w:rsidRPr="008A2767">
        <w:rPr>
          <w:rFonts w:eastAsia="Calibri" w:cs="Tahoma"/>
        </w:rPr>
        <w:t>3</w:t>
      </w:r>
      <w:r w:rsidRPr="008A2767">
        <w:rPr>
          <w:rFonts w:eastAsia="Calibri" w:cs="Tahoma"/>
        </w:rPr>
        <w:t>.</w:t>
      </w:r>
      <w:r w:rsidR="00397197" w:rsidRPr="008A2767">
        <w:rPr>
          <w:rFonts w:eastAsia="Calibri" w:cs="Tahoma"/>
        </w:rPr>
        <w:t>1</w:t>
      </w:r>
      <w:r w:rsidRPr="008A2767">
        <w:rPr>
          <w:rFonts w:eastAsia="Calibri" w:cs="Tahoma"/>
        </w:rPr>
        <w:t>, ai fini della verifica della conformità dei prezzi praticati nelle transazioni in oggetto è stato ritenuto appli</w:t>
      </w:r>
      <w:r>
        <w:rPr>
          <w:rFonts w:eastAsia="Calibri" w:cs="Tahoma"/>
        </w:rPr>
        <w:t>cabile il metodo “</w:t>
      </w:r>
      <w:r w:rsidRPr="00C11C1C">
        <w:rPr>
          <w:rFonts w:eastAsia="Calibri" w:cs="Tahoma"/>
        </w:rPr>
        <w:t>CUP</w:t>
      </w:r>
      <w:r>
        <w:rPr>
          <w:rFonts w:eastAsia="Calibri" w:cs="Tahoma"/>
        </w:rPr>
        <w:t>”</w:t>
      </w:r>
      <w:r w:rsidRPr="00C11C1C">
        <w:rPr>
          <w:rFonts w:eastAsia="Calibri" w:cs="Tahoma"/>
        </w:rPr>
        <w:t>,</w:t>
      </w:r>
      <w:r>
        <w:rPr>
          <w:rFonts w:eastAsia="Calibri" w:cs="Tahoma"/>
        </w:rPr>
        <w:t xml:space="preserve"> nella versione del confronto “interno”</w:t>
      </w:r>
      <w:r>
        <w:rPr>
          <w:rFonts w:cs="Tahoma"/>
          <w:bCs/>
        </w:rPr>
        <w:t>.</w:t>
      </w:r>
    </w:p>
    <w:p w14:paraId="6FC9F047" w14:textId="77777777" w:rsidR="00D6298F" w:rsidRDefault="00D6298F" w:rsidP="00397197">
      <w:pPr>
        <w:pStyle w:val="Paragrafoelenco"/>
        <w:keepNext/>
        <w:numPr>
          <w:ilvl w:val="0"/>
          <w:numId w:val="25"/>
        </w:numPr>
        <w:autoSpaceDE w:val="0"/>
        <w:autoSpaceDN w:val="0"/>
        <w:adjustRightInd w:val="0"/>
        <w:rPr>
          <w:rFonts w:cs="Tahoma"/>
          <w:b/>
          <w:bCs/>
        </w:rPr>
      </w:pPr>
      <w:r>
        <w:rPr>
          <w:rFonts w:cs="Tahoma"/>
          <w:b/>
          <w:bCs/>
        </w:rPr>
        <w:t>Motivazioni</w:t>
      </w:r>
    </w:p>
    <w:p w14:paraId="6ED6EDBD" w14:textId="5C952E8E" w:rsidR="00D6298F" w:rsidRPr="000D44F9" w:rsidRDefault="00D6298F" w:rsidP="00397197">
      <w:pPr>
        <w:keepNext/>
        <w:autoSpaceDE w:val="0"/>
        <w:autoSpaceDN w:val="0"/>
        <w:adjustRightInd w:val="0"/>
        <w:rPr>
          <w:rFonts w:cs="Tahoma"/>
          <w:bCs/>
        </w:rPr>
      </w:pPr>
      <w:r>
        <w:rPr>
          <w:rFonts w:eastAsia="Calibri" w:cs="Tahoma"/>
        </w:rPr>
        <w:t>Il metodo CUP confronta il prezzo dei beni oggetto della transazione controllata con il prezzo dei beni oggetto di una transazione non controllata. Poiché Vimercati ha acquistato i componenti oggetto della transazione anche da soggetti terzi ed indipendenti, sulla base di quanto sopra descritto, si può concludere che il metodo del confronto di prezzo (CUP) sia il metodo più affidabile per verificare la conformità al principio di libera concorrenza dei prezzi di trasferimento relativi all’attività di acquisto di componenti posta in essere da Vimercati. Sul lato esterno, invece, non è stato possibile individuare transazioni tra parti indipendenti che possano dirsi comparabili e per ci sia disponibilità di dati attraverso fonti pubbliche</w:t>
      </w:r>
      <w:r w:rsidRPr="000D44F9">
        <w:rPr>
          <w:rFonts w:cs="Tahoma"/>
          <w:bCs/>
        </w:rPr>
        <w:t>.</w:t>
      </w:r>
    </w:p>
    <w:p w14:paraId="466B5143" w14:textId="77777777" w:rsidR="00D6298F" w:rsidRDefault="00D6298F" w:rsidP="00D6298F">
      <w:pPr>
        <w:pStyle w:val="Paragrafoelenco"/>
        <w:numPr>
          <w:ilvl w:val="0"/>
          <w:numId w:val="25"/>
        </w:numPr>
        <w:autoSpaceDE w:val="0"/>
        <w:autoSpaceDN w:val="0"/>
        <w:adjustRightInd w:val="0"/>
        <w:rPr>
          <w:rFonts w:cs="Tahoma"/>
          <w:b/>
          <w:bCs/>
        </w:rPr>
      </w:pPr>
      <w:r>
        <w:rPr>
          <w:rFonts w:cs="Tahoma"/>
          <w:b/>
          <w:bCs/>
        </w:rPr>
        <w:t>Parametri a supporto del valore di libera concorrenza</w:t>
      </w:r>
    </w:p>
    <w:p w14:paraId="5EC9C40E" w14:textId="117226BB" w:rsidR="00D6298F" w:rsidRDefault="00D6298F" w:rsidP="00D6298F">
      <w:pPr>
        <w:autoSpaceDE w:val="0"/>
        <w:autoSpaceDN w:val="0"/>
        <w:adjustRightInd w:val="0"/>
        <w:rPr>
          <w:rFonts w:eastAsia="Calibri" w:cs="Tahoma"/>
        </w:rPr>
      </w:pPr>
      <w:r>
        <w:rPr>
          <w:rFonts w:eastAsia="Calibri" w:cs="Tahoma"/>
        </w:rPr>
        <w:t xml:space="preserve">Nella transazione in oggetto di analisi, è stato comparato il prezzo che Vimercati ha storicamente sostenuto per l’acquisto da fornitori terzi ed indipendenti nelle medesime componenti acquistate da </w:t>
      </w:r>
      <w:proofErr w:type="spellStart"/>
      <w:r>
        <w:rPr>
          <w:rFonts w:eastAsia="Calibri" w:cs="Tahoma"/>
        </w:rPr>
        <w:t>Viney</w:t>
      </w:r>
      <w:proofErr w:type="spellEnd"/>
      <w:r>
        <w:rPr>
          <w:rFonts w:eastAsia="Calibri" w:cs="Tahoma"/>
        </w:rPr>
        <w:t xml:space="preserve"> nel corso dell’esercizio </w:t>
      </w:r>
      <w:r w:rsidR="007F0E72">
        <w:rPr>
          <w:rFonts w:eastAsia="Calibri" w:cs="Tahoma"/>
        </w:rPr>
        <w:t>201</w:t>
      </w:r>
      <w:r w:rsidR="00397197">
        <w:rPr>
          <w:rFonts w:eastAsia="Calibri" w:cs="Tahoma"/>
        </w:rPr>
        <w:t>8</w:t>
      </w:r>
      <w:r w:rsidR="007F0E72">
        <w:rPr>
          <w:rFonts w:eastAsia="Calibri" w:cs="Tahoma"/>
        </w:rPr>
        <w:t xml:space="preserve"> </w:t>
      </w:r>
      <w:r>
        <w:rPr>
          <w:rFonts w:eastAsia="Calibri" w:cs="Tahoma"/>
        </w:rPr>
        <w:t xml:space="preserve">con il prezzo corrisposto a </w:t>
      </w:r>
      <w:proofErr w:type="spellStart"/>
      <w:r>
        <w:rPr>
          <w:rFonts w:eastAsia="Calibri" w:cs="Tahoma"/>
        </w:rPr>
        <w:t>Viney</w:t>
      </w:r>
      <w:proofErr w:type="spellEnd"/>
      <w:r>
        <w:rPr>
          <w:rFonts w:eastAsia="Calibri" w:cs="Tahoma"/>
        </w:rPr>
        <w:t>.</w:t>
      </w:r>
    </w:p>
    <w:p w14:paraId="7D733828" w14:textId="77777777" w:rsidR="00D6298F" w:rsidRDefault="00D6298F" w:rsidP="00D6298F">
      <w:pPr>
        <w:autoSpaceDE w:val="0"/>
        <w:autoSpaceDN w:val="0"/>
        <w:adjustRightInd w:val="0"/>
        <w:rPr>
          <w:rFonts w:eastAsia="Calibri" w:cs="Tahoma"/>
        </w:rPr>
      </w:pPr>
      <w:r>
        <w:rPr>
          <w:rFonts w:eastAsia="Calibri" w:cs="Tahoma"/>
        </w:rPr>
        <w:t xml:space="preserve">Dal confronto di cui sopra, emerge che i prezzi applicati da </w:t>
      </w:r>
      <w:proofErr w:type="spellStart"/>
      <w:r>
        <w:rPr>
          <w:rFonts w:eastAsia="Calibri" w:cs="Tahoma"/>
        </w:rPr>
        <w:t>Viney</w:t>
      </w:r>
      <w:proofErr w:type="spellEnd"/>
      <w:r>
        <w:rPr>
          <w:rFonts w:eastAsia="Calibri" w:cs="Tahoma"/>
        </w:rPr>
        <w:t xml:space="preserve"> alla maggior parte di componenti oggetto della transazione infragruppo in esame risultano essere inferiori rispetto a quelli applicati da fornitori terzi ed indipendenti.</w:t>
      </w:r>
    </w:p>
    <w:p w14:paraId="418B3ACD" w14:textId="483E4606" w:rsidR="00D6298F" w:rsidRDefault="00D6298F" w:rsidP="00D6298F">
      <w:pPr>
        <w:autoSpaceDE w:val="0"/>
        <w:autoSpaceDN w:val="0"/>
        <w:adjustRightInd w:val="0"/>
        <w:rPr>
          <w:rFonts w:cs="Tahoma"/>
          <w:bCs/>
        </w:rPr>
      </w:pPr>
      <w:r>
        <w:rPr>
          <w:rFonts w:eastAsia="Calibri" w:cs="Tahoma"/>
        </w:rPr>
        <w:t>Per le risultanze del predetto confronto, si rimanda espressamente a quanto riportato nella Documentazione Nazionale</w:t>
      </w:r>
      <w:r w:rsidRPr="000D44F9">
        <w:rPr>
          <w:rFonts w:cs="Tahoma"/>
          <w:bCs/>
        </w:rPr>
        <w:t>.</w:t>
      </w:r>
    </w:p>
    <w:p w14:paraId="155B9A93" w14:textId="77777777" w:rsidR="00D6298F" w:rsidRDefault="00D6298F" w:rsidP="00D6298F">
      <w:pPr>
        <w:pStyle w:val="Paragrafoelenco"/>
        <w:numPr>
          <w:ilvl w:val="0"/>
          <w:numId w:val="25"/>
        </w:numPr>
        <w:autoSpaceDE w:val="0"/>
        <w:autoSpaceDN w:val="0"/>
        <w:adjustRightInd w:val="0"/>
        <w:rPr>
          <w:rFonts w:cs="Tahoma"/>
          <w:b/>
          <w:bCs/>
        </w:rPr>
      </w:pPr>
      <w:r>
        <w:rPr>
          <w:rFonts w:cs="Tahoma"/>
          <w:b/>
          <w:bCs/>
        </w:rPr>
        <w:t>Contesto contrattuale</w:t>
      </w:r>
    </w:p>
    <w:p w14:paraId="3191E460" w14:textId="77777777" w:rsidR="00D6298F" w:rsidRDefault="00D6298F" w:rsidP="00D6298F">
      <w:pPr>
        <w:autoSpaceDE w:val="0"/>
        <w:autoSpaceDN w:val="0"/>
        <w:adjustRightInd w:val="0"/>
        <w:rPr>
          <w:rFonts w:eastAsia="Calibri" w:cs="Tahoma"/>
        </w:rPr>
      </w:pPr>
      <w:r w:rsidRPr="00FD5397">
        <w:rPr>
          <w:rFonts w:eastAsia="Calibri" w:cs="Tahoma"/>
        </w:rPr>
        <w:t>Le</w:t>
      </w:r>
      <w:r>
        <w:rPr>
          <w:rFonts w:eastAsia="Calibri" w:cs="Tahoma"/>
        </w:rPr>
        <w:t xml:space="preserve"> condizioni di fornitura applicate allo scambio di componenti non sono regolate da uno specifico contratto, bensì da ordini di acquisto emessi dalla controllata italiana a </w:t>
      </w:r>
      <w:proofErr w:type="spellStart"/>
      <w:r>
        <w:rPr>
          <w:rFonts w:eastAsia="Calibri" w:cs="Tahoma"/>
        </w:rPr>
        <w:t>Viney</w:t>
      </w:r>
      <w:proofErr w:type="spellEnd"/>
      <w:r>
        <w:rPr>
          <w:rFonts w:eastAsia="Calibri" w:cs="Tahoma"/>
        </w:rPr>
        <w:t>.</w:t>
      </w:r>
    </w:p>
    <w:p w14:paraId="44F2FB0F" w14:textId="77777777" w:rsidR="00D6298F" w:rsidRDefault="00D6298F" w:rsidP="00D6298F">
      <w:pPr>
        <w:autoSpaceDE w:val="0"/>
        <w:autoSpaceDN w:val="0"/>
        <w:adjustRightInd w:val="0"/>
        <w:rPr>
          <w:rFonts w:eastAsia="Calibri" w:cs="Tahoma"/>
        </w:rPr>
      </w:pPr>
      <w:r>
        <w:rPr>
          <w:rFonts w:eastAsia="Calibri" w:cs="Tahoma"/>
        </w:rPr>
        <w:t>In particolare, tali condizioni di fornitura non si discostano da quelle ordinariamente applicate a Vimercati nell’acquisto da soggetti terzi ed indipendenti delle medesime componenti, sia per quanto riguarda i termini di consegna che le modalità di pagamento.</w:t>
      </w:r>
    </w:p>
    <w:p w14:paraId="5A8536E0" w14:textId="38965387" w:rsidR="00D6298F" w:rsidRDefault="00D6298F" w:rsidP="00D6298F">
      <w:pPr>
        <w:autoSpaceDE w:val="0"/>
        <w:autoSpaceDN w:val="0"/>
        <w:adjustRightInd w:val="0"/>
        <w:rPr>
          <w:rFonts w:cs="Tahoma"/>
        </w:rPr>
      </w:pPr>
      <w:r>
        <w:rPr>
          <w:rFonts w:eastAsia="Calibri" w:cs="Tahoma"/>
        </w:rPr>
        <w:t>In particolare, le transazioni sono denominate in Euro, i termini di pagamento sono concordati secondo le esigenze così come concordati di volta in volta risultano gli aspetti di natura prettamente logistica connessi alla movimentazioni dei beni</w:t>
      </w:r>
      <w:r w:rsidRPr="0044023A">
        <w:rPr>
          <w:rFonts w:cs="Tahoma"/>
        </w:rPr>
        <w:t>.</w:t>
      </w:r>
    </w:p>
    <w:p w14:paraId="4615070C" w14:textId="77777777" w:rsidR="000F3905" w:rsidRPr="000F3905" w:rsidRDefault="000F3905" w:rsidP="000F3905">
      <w:pPr>
        <w:autoSpaceDE w:val="0"/>
        <w:autoSpaceDN w:val="0"/>
        <w:adjustRightInd w:val="0"/>
        <w:rPr>
          <w:rFonts w:cs="Tahoma"/>
          <w:b/>
          <w:bCs/>
        </w:rPr>
      </w:pPr>
    </w:p>
    <w:p w14:paraId="594CA765" w14:textId="77777777" w:rsidR="000F3905" w:rsidRPr="000F3905" w:rsidRDefault="000F3905" w:rsidP="000F3905">
      <w:pPr>
        <w:autoSpaceDE w:val="0"/>
        <w:autoSpaceDN w:val="0"/>
        <w:adjustRightInd w:val="0"/>
        <w:rPr>
          <w:rFonts w:cs="Tahoma"/>
          <w:b/>
          <w:bCs/>
        </w:rPr>
      </w:pPr>
    </w:p>
    <w:p w14:paraId="3D21A634" w14:textId="77777777" w:rsidR="000F3905" w:rsidRPr="000F3905" w:rsidRDefault="000F3905" w:rsidP="000F3905">
      <w:pPr>
        <w:autoSpaceDE w:val="0"/>
        <w:autoSpaceDN w:val="0"/>
        <w:adjustRightInd w:val="0"/>
        <w:rPr>
          <w:rFonts w:cs="Tahoma"/>
          <w:b/>
          <w:bCs/>
        </w:rPr>
      </w:pPr>
    </w:p>
    <w:p w14:paraId="0FE0642D" w14:textId="5F631B4F" w:rsidR="00D6298F" w:rsidRDefault="00D6298F" w:rsidP="000F3905">
      <w:pPr>
        <w:autoSpaceDE w:val="0"/>
        <w:autoSpaceDN w:val="0"/>
        <w:adjustRightInd w:val="0"/>
      </w:pPr>
    </w:p>
    <w:p w14:paraId="781B939E" w14:textId="77777777" w:rsidR="00D6298F" w:rsidRDefault="00D6298F">
      <w:pPr>
        <w:spacing w:before="0" w:after="160" w:line="259" w:lineRule="auto"/>
        <w:jc w:val="left"/>
      </w:pPr>
      <w:r>
        <w:br w:type="page"/>
      </w:r>
    </w:p>
    <w:p w14:paraId="75231ED7" w14:textId="432FDA3E" w:rsidR="000F3905" w:rsidRDefault="00D6298F" w:rsidP="00D6298F">
      <w:pPr>
        <w:pStyle w:val="Titolo1"/>
        <w:numPr>
          <w:ilvl w:val="0"/>
          <w:numId w:val="5"/>
        </w:numPr>
      </w:pPr>
      <w:bookmarkStart w:id="93" w:name="_Toc25674109"/>
      <w:r>
        <w:lastRenderedPageBreak/>
        <w:t>Rapporti con le amministrazioni fiscali dei Paesi membri dell’Unione Europea concernenti “</w:t>
      </w:r>
      <w:r w:rsidRPr="00D6298F">
        <w:rPr>
          <w:i/>
        </w:rPr>
        <w:t xml:space="preserve">Advance Price </w:t>
      </w:r>
      <w:proofErr w:type="spellStart"/>
      <w:r w:rsidRPr="00D6298F">
        <w:rPr>
          <w:i/>
        </w:rPr>
        <w:t>Arrangements</w:t>
      </w:r>
      <w:proofErr w:type="spellEnd"/>
      <w:r>
        <w:t xml:space="preserve">” (APA) e </w:t>
      </w:r>
      <w:proofErr w:type="spellStart"/>
      <w:r>
        <w:rPr>
          <w:i/>
        </w:rPr>
        <w:t>ruling</w:t>
      </w:r>
      <w:proofErr w:type="spellEnd"/>
      <w:r>
        <w:t xml:space="preserve"> in materia di prezzi di trasferimento</w:t>
      </w:r>
      <w:bookmarkEnd w:id="93"/>
    </w:p>
    <w:p w14:paraId="411BF22F" w14:textId="77777777" w:rsidR="00D6298F" w:rsidRPr="00D6298F" w:rsidRDefault="00D6298F" w:rsidP="00D6298F">
      <w:pPr>
        <w:autoSpaceDE w:val="0"/>
        <w:autoSpaceDN w:val="0"/>
        <w:adjustRightInd w:val="0"/>
        <w:ind w:left="360"/>
        <w:rPr>
          <w:rFonts w:cs="Tahoma"/>
        </w:rPr>
      </w:pPr>
      <w:r w:rsidRPr="00D6298F">
        <w:rPr>
          <w:rFonts w:cs="Tahoma"/>
        </w:rPr>
        <w:t xml:space="preserve">Non sono mai state avviate attività volte al raggiungimento di accordi preventivi (c.d. APA) con l’Amministrazione finanziaria in tema di </w:t>
      </w:r>
      <w:r w:rsidRPr="00D6298F">
        <w:rPr>
          <w:rFonts w:cs="Tahoma"/>
          <w:i/>
        </w:rPr>
        <w:t xml:space="preserve">transfer </w:t>
      </w:r>
      <w:proofErr w:type="spellStart"/>
      <w:r w:rsidRPr="00D6298F">
        <w:rPr>
          <w:rFonts w:cs="Tahoma"/>
          <w:i/>
        </w:rPr>
        <w:t>pricing</w:t>
      </w:r>
      <w:proofErr w:type="spellEnd"/>
      <w:r w:rsidRPr="00D6298F">
        <w:rPr>
          <w:rFonts w:cs="Tahoma"/>
        </w:rPr>
        <w:t xml:space="preserve"> né in Italia (c.d. </w:t>
      </w:r>
      <w:proofErr w:type="spellStart"/>
      <w:r w:rsidRPr="00D6298F">
        <w:rPr>
          <w:rFonts w:cs="Tahoma"/>
        </w:rPr>
        <w:t>Ruling</w:t>
      </w:r>
      <w:proofErr w:type="spellEnd"/>
      <w:r w:rsidRPr="00D6298F">
        <w:rPr>
          <w:rFonts w:cs="Tahoma"/>
        </w:rPr>
        <w:t xml:space="preserve"> internazionale), né in Romania.</w:t>
      </w:r>
    </w:p>
    <w:p w14:paraId="1DD44FFF" w14:textId="77777777" w:rsidR="00D6298F" w:rsidRPr="00D6298F" w:rsidRDefault="00D6298F" w:rsidP="00D6298F"/>
    <w:p w14:paraId="706ACB98" w14:textId="77777777" w:rsidR="00203A55" w:rsidRPr="00203A55" w:rsidRDefault="00203A55" w:rsidP="00203A55"/>
    <w:p w14:paraId="4CE367C6" w14:textId="77777777" w:rsidR="00203A55" w:rsidRPr="00203A55" w:rsidRDefault="00203A55" w:rsidP="00203A55"/>
    <w:sectPr w:rsidR="00203A55" w:rsidRPr="00203A55" w:rsidSect="00217198">
      <w:headerReference w:type="even" r:id="rId11"/>
      <w:headerReference w:type="default" r:id="rId12"/>
      <w:footerReference w:type="default" r:id="rId13"/>
      <w:headerReference w:type="first" r:id="rId14"/>
      <w:pgSz w:w="11906" w:h="16838"/>
      <w:pgMar w:top="2835" w:right="1474" w:bottom="1588" w:left="1474" w:header="709" w:footer="709"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Studio Associato" w:date="2019-11-26T15:05:00Z" w:initials="SA">
    <w:p w14:paraId="32A0E630" w14:textId="343A917A" w:rsidR="00A56D1A" w:rsidRPr="00683F51" w:rsidRDefault="00A56D1A">
      <w:pPr>
        <w:pStyle w:val="Testocommento"/>
        <w:rPr>
          <w:lang w:val="en-US"/>
        </w:rPr>
      </w:pPr>
      <w:r>
        <w:rPr>
          <w:rStyle w:val="Rimandocommento"/>
        </w:rPr>
        <w:annotationRef/>
      </w:r>
      <w:r w:rsidRPr="00683F51">
        <w:rPr>
          <w:lang w:val="en-US"/>
        </w:rPr>
        <w:t>@</w:t>
      </w:r>
      <w:proofErr w:type="spellStart"/>
      <w:r w:rsidRPr="00683F51">
        <w:rPr>
          <w:lang w:val="en-US"/>
        </w:rPr>
        <w:t>Vimercati</w:t>
      </w:r>
      <w:proofErr w:type="spellEnd"/>
      <w:r w:rsidRPr="00683F51">
        <w:rPr>
          <w:lang w:val="en-US"/>
        </w:rPr>
        <w:t xml:space="preserve">:  please provide the transactions between VEE and </w:t>
      </w:r>
      <w:proofErr w:type="spellStart"/>
      <w:r w:rsidRPr="00683F51">
        <w:rPr>
          <w:lang w:val="en-US"/>
        </w:rPr>
        <w:t>Viney</w:t>
      </w:r>
      <w:proofErr w:type="spellEnd"/>
      <w:r w:rsidRPr="00683F51">
        <w:rPr>
          <w:lang w:val="en-US"/>
        </w:rPr>
        <w:t xml:space="preserve"> India</w:t>
      </w:r>
      <w:r>
        <w:rPr>
          <w:lang w:val="en-US"/>
        </w:rPr>
        <w:t xml:space="preserve"> occurred in FY2018.</w:t>
      </w:r>
    </w:p>
  </w:comment>
  <w:comment w:id="27" w:author="Studio Associato" w:date="2019-11-26T15:08:00Z" w:initials="SA">
    <w:p w14:paraId="4A9A88A4" w14:textId="700B7B75" w:rsidR="00A56D1A" w:rsidRPr="00BF16E4" w:rsidRDefault="00A56D1A">
      <w:pPr>
        <w:pStyle w:val="Testocommento"/>
        <w:rPr>
          <w:lang w:val="en-US"/>
        </w:rPr>
      </w:pPr>
      <w:r>
        <w:rPr>
          <w:rStyle w:val="Rimandocommento"/>
        </w:rPr>
        <w:annotationRef/>
      </w:r>
      <w:r w:rsidRPr="00BF16E4">
        <w:rPr>
          <w:lang w:val="en-US"/>
        </w:rPr>
        <w:t>@</w:t>
      </w:r>
      <w:proofErr w:type="spellStart"/>
      <w:r w:rsidRPr="00BF16E4">
        <w:rPr>
          <w:lang w:val="en-US"/>
        </w:rPr>
        <w:t>Vimercati</w:t>
      </w:r>
      <w:proofErr w:type="spellEnd"/>
      <w:r w:rsidRPr="00BF16E4">
        <w:rPr>
          <w:lang w:val="en-US"/>
        </w:rPr>
        <w:t xml:space="preserve">: please confirm the </w:t>
      </w:r>
      <w:r>
        <w:rPr>
          <w:lang w:val="en-US"/>
        </w:rPr>
        <w:t>part in yellow</w:t>
      </w:r>
    </w:p>
  </w:comment>
  <w:comment w:id="30" w:author="Studio Associato" w:date="2019-11-26T15:11:00Z" w:initials="SA">
    <w:p w14:paraId="07E3BCB9" w14:textId="352AED89" w:rsidR="00A56D1A" w:rsidRPr="00683F51" w:rsidRDefault="00A56D1A">
      <w:pPr>
        <w:pStyle w:val="Testocommento"/>
        <w:rPr>
          <w:lang w:val="en-US"/>
        </w:rPr>
      </w:pPr>
      <w:r>
        <w:rPr>
          <w:rStyle w:val="Rimandocommento"/>
        </w:rPr>
        <w:annotationRef/>
      </w:r>
      <w:r w:rsidRPr="00683F51">
        <w:rPr>
          <w:lang w:val="en-US"/>
        </w:rPr>
        <w:t>@</w:t>
      </w:r>
      <w:proofErr w:type="spellStart"/>
      <w:r w:rsidRPr="00683F51">
        <w:rPr>
          <w:lang w:val="en-US"/>
        </w:rPr>
        <w:t>Vimercati</w:t>
      </w:r>
      <w:proofErr w:type="spellEnd"/>
      <w:r w:rsidRPr="00683F51">
        <w:rPr>
          <w:lang w:val="en-US"/>
        </w:rPr>
        <w:t xml:space="preserve">: please provide the information related to the transactions between VEE and </w:t>
      </w:r>
      <w:proofErr w:type="spellStart"/>
      <w:r w:rsidRPr="00683F51">
        <w:rPr>
          <w:lang w:val="en-US"/>
        </w:rPr>
        <w:t>Viney</w:t>
      </w:r>
      <w:proofErr w:type="spellEnd"/>
      <w:r w:rsidRPr="00683F51">
        <w:rPr>
          <w:lang w:val="en-US"/>
        </w:rPr>
        <w:t xml:space="preserve"> India</w:t>
      </w:r>
      <w:r>
        <w:rPr>
          <w:lang w:val="en-US"/>
        </w:rPr>
        <w:t xml:space="preserve"> occurred in FY2018, if any.</w:t>
      </w:r>
    </w:p>
  </w:comment>
  <w:comment w:id="90" w:author="Studio Associato" w:date="2019-11-26T15:18:00Z" w:initials="SA">
    <w:p w14:paraId="78092587" w14:textId="77777777" w:rsidR="00A56D1A" w:rsidRDefault="00A56D1A">
      <w:pPr>
        <w:pStyle w:val="Testocommento"/>
        <w:rPr>
          <w:lang w:val="en-US"/>
        </w:rPr>
      </w:pPr>
      <w:r>
        <w:rPr>
          <w:rStyle w:val="Rimandocommento"/>
        </w:rPr>
        <w:annotationRef/>
      </w:r>
      <w:r w:rsidRPr="00BF16E4">
        <w:rPr>
          <w:lang w:val="en-US"/>
        </w:rPr>
        <w:t>@</w:t>
      </w:r>
      <w:proofErr w:type="spellStart"/>
      <w:r w:rsidRPr="00BF16E4">
        <w:rPr>
          <w:lang w:val="en-US"/>
        </w:rPr>
        <w:t>Vimercati</w:t>
      </w:r>
      <w:proofErr w:type="spellEnd"/>
      <w:r w:rsidRPr="00BF16E4">
        <w:rPr>
          <w:lang w:val="en-US"/>
        </w:rPr>
        <w:t xml:space="preserve">: please provide </w:t>
      </w:r>
      <w:r w:rsidR="0087600B">
        <w:rPr>
          <w:lang w:val="en-US"/>
        </w:rPr>
        <w:t>new agreement, or amendment of current existing agreement, if any, with respect to the transactions occurred in FY2018.</w:t>
      </w:r>
    </w:p>
    <w:p w14:paraId="11F19CAA" w14:textId="77777777" w:rsidR="000A1B24" w:rsidRDefault="000A1B24">
      <w:pPr>
        <w:pStyle w:val="Testocommento"/>
        <w:rPr>
          <w:lang w:val="en-US"/>
        </w:rPr>
      </w:pPr>
    </w:p>
    <w:p w14:paraId="650FB645" w14:textId="7D13D988" w:rsidR="000A1B24" w:rsidRPr="00BF16E4" w:rsidRDefault="000A1B24">
      <w:pPr>
        <w:pStyle w:val="Testocommento"/>
        <w:rPr>
          <w:lang w:val="en-US"/>
        </w:rPr>
      </w:pPr>
      <w:r>
        <w:rPr>
          <w:lang w:val="en-US"/>
        </w:rPr>
        <w:t xml:space="preserve">Part in yellow to be </w:t>
      </w:r>
      <w:proofErr w:type="spellStart"/>
      <w:r>
        <w:rPr>
          <w:lang w:val="en-US"/>
        </w:rPr>
        <w:t>udated</w:t>
      </w:r>
      <w:proofErr w:type="spellEnd"/>
      <w:r>
        <w:rPr>
          <w:lang w:val="en-US"/>
        </w:rPr>
        <w:t xml:space="preserve"> if necessary.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A0E630" w15:done="0"/>
  <w15:commentEx w15:paraId="4A9A88A4" w15:done="0"/>
  <w15:commentEx w15:paraId="07E3BCB9" w15:done="0"/>
  <w15:commentEx w15:paraId="650FB6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696EA" w14:textId="77777777" w:rsidR="00A56D1A" w:rsidRDefault="00A56D1A" w:rsidP="00997C93">
      <w:pPr>
        <w:spacing w:before="0" w:after="0" w:line="240" w:lineRule="auto"/>
      </w:pPr>
      <w:r>
        <w:separator/>
      </w:r>
    </w:p>
  </w:endnote>
  <w:endnote w:type="continuationSeparator" w:id="0">
    <w:p w14:paraId="666A3A8D" w14:textId="77777777" w:rsidR="00A56D1A" w:rsidRDefault="00A56D1A" w:rsidP="00997C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3066364"/>
      <w:docPartObj>
        <w:docPartGallery w:val="Page Numbers (Bottom of Page)"/>
        <w:docPartUnique/>
      </w:docPartObj>
    </w:sdtPr>
    <w:sdtContent>
      <w:p w14:paraId="3FC85E26" w14:textId="5569D68B" w:rsidR="00A56D1A" w:rsidRDefault="00A56D1A">
        <w:pPr>
          <w:pStyle w:val="Pidipagina"/>
          <w:jc w:val="right"/>
        </w:pPr>
        <w:r>
          <w:fldChar w:fldCharType="begin"/>
        </w:r>
        <w:r>
          <w:instrText>PAGE   \* MERGEFORMAT</w:instrText>
        </w:r>
        <w:r>
          <w:fldChar w:fldCharType="separate"/>
        </w:r>
        <w:r w:rsidR="000A1B24">
          <w:rPr>
            <w:noProof/>
          </w:rPr>
          <w:t>31</w:t>
        </w:r>
        <w:r>
          <w:fldChar w:fldCharType="end"/>
        </w:r>
      </w:p>
    </w:sdtContent>
  </w:sdt>
  <w:p w14:paraId="5E2A1AF6" w14:textId="77777777" w:rsidR="00A56D1A" w:rsidRDefault="00A56D1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D5902" w14:textId="77777777" w:rsidR="00A56D1A" w:rsidRDefault="00A56D1A" w:rsidP="00997C93">
      <w:pPr>
        <w:spacing w:before="0" w:after="0" w:line="240" w:lineRule="auto"/>
      </w:pPr>
      <w:r>
        <w:separator/>
      </w:r>
    </w:p>
  </w:footnote>
  <w:footnote w:type="continuationSeparator" w:id="0">
    <w:p w14:paraId="55124D1F" w14:textId="77777777" w:rsidR="00A56D1A" w:rsidRDefault="00A56D1A" w:rsidP="00997C93">
      <w:pPr>
        <w:spacing w:before="0" w:after="0" w:line="240" w:lineRule="auto"/>
      </w:pPr>
      <w:r>
        <w:continuationSeparator/>
      </w:r>
    </w:p>
  </w:footnote>
  <w:footnote w:id="1">
    <w:p w14:paraId="6CE207E6" w14:textId="369670A9" w:rsidR="00A56D1A" w:rsidRPr="00D237B9" w:rsidRDefault="00A56D1A" w:rsidP="006E02CB">
      <w:pPr>
        <w:pStyle w:val="Testonotaapidipagina"/>
        <w:rPr>
          <w:sz w:val="18"/>
        </w:rPr>
      </w:pPr>
      <w:r w:rsidRPr="00D237B9">
        <w:rPr>
          <w:rStyle w:val="Rimandonotaapidipagina"/>
          <w:sz w:val="18"/>
        </w:rPr>
        <w:footnoteRef/>
      </w:r>
      <w:r w:rsidRPr="00D237B9">
        <w:rPr>
          <w:sz w:val="18"/>
        </w:rPr>
        <w:t xml:space="preserve"> Si precisa che le componenti acquistate da VEE dalla controllante italiana vengono utilizzate dalla società rumena sia nell’ambito della Transazione T1 per l’attività di produzione a contratto di prodotti finiti e semifiniti a favore di Vimercati, sia nell’ambito della Transazione T2 per la produzione e vendita diretta di prodotti a clienti terzi. Poiché, a livello di reportistica gestionale, non appare possibile per VEE distinguere tale flusso tra le due rispettive transazioni, l’importo indicato nelle presente tabella, pari a 32.472.236 Euro, rappresenta il valore complessivo degli acquisti di componenti effettuati da VEE nel c</w:t>
      </w:r>
      <w:r>
        <w:rPr>
          <w:sz w:val="18"/>
        </w:rPr>
        <w:t>orso dell’esercizio in oggetto.</w:t>
      </w:r>
    </w:p>
  </w:footnote>
  <w:footnote w:id="2">
    <w:p w14:paraId="10B2F2A8" w14:textId="77777777" w:rsidR="00A56D1A" w:rsidRPr="00706764" w:rsidRDefault="00A56D1A" w:rsidP="00203A55">
      <w:pPr>
        <w:pStyle w:val="Testonotaapidipagina"/>
        <w:rPr>
          <w:rFonts w:cs="Times New Roman"/>
          <w:lang w:val="en-US"/>
        </w:rPr>
      </w:pPr>
      <w:r w:rsidRPr="00706764">
        <w:rPr>
          <w:rStyle w:val="Rimandonotaapidipagina"/>
          <w:rFonts w:cs="Times New Roman"/>
          <w:sz w:val="18"/>
        </w:rPr>
        <w:footnoteRef/>
      </w:r>
      <w:r w:rsidRPr="00706764">
        <w:rPr>
          <w:rFonts w:cs="Times New Roman"/>
          <w:sz w:val="18"/>
          <w:lang w:val="en-US"/>
        </w:rPr>
        <w:t xml:space="preserve"> </w:t>
      </w:r>
      <w:r w:rsidRPr="00706764">
        <w:rPr>
          <w:rFonts w:cs="Times New Roman"/>
          <w:i/>
          <w:iCs/>
          <w:sz w:val="18"/>
          <w:lang w:val="en-US"/>
        </w:rPr>
        <w:t xml:space="preserve">However, there are often situations where separate transactions are so closely linked or continuous that they cannot be evaluated adequately on a separate basis. Examples may include 1. Some long-term contracts for the supply of commodities or services, 2. Rights to use intangible property, and 3. </w:t>
      </w:r>
      <w:proofErr w:type="gramStart"/>
      <w:r w:rsidRPr="00706764">
        <w:rPr>
          <w:rFonts w:cs="Times New Roman"/>
          <w:i/>
          <w:iCs/>
          <w:sz w:val="18"/>
          <w:lang w:val="en-US"/>
        </w:rPr>
        <w:t>pricing</w:t>
      </w:r>
      <w:proofErr w:type="gramEnd"/>
      <w:r w:rsidRPr="00706764">
        <w:rPr>
          <w:rFonts w:cs="Times New Roman"/>
          <w:i/>
          <w:iCs/>
          <w:sz w:val="18"/>
          <w:lang w:val="en-US"/>
        </w:rPr>
        <w:t xml:space="preserve"> a range of closely-linked products (e.g. in a product line) when it is impractical to determine pricing for each individual product or transaction. Another example would be the licensing of manufacturing know-how and the supply of vital components to an associated manufacturer; it may be more reasonable to assess the arm's length terms for the two items together rather than individually. Such transactions should be evaluated together using the most appropriate arm's length method </w:t>
      </w:r>
      <w:r w:rsidRPr="00706764">
        <w:rPr>
          <w:rFonts w:cs="Times New Roman"/>
          <w:sz w:val="18"/>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C4441" w14:textId="1C0542FE" w:rsidR="00A56D1A" w:rsidRDefault="00A56D1A">
    <w:pPr>
      <w:pStyle w:val="Intestazione"/>
    </w:pPr>
    <w:r>
      <w:rPr>
        <w:noProof/>
        <w:lang w:eastAsia="it-IT"/>
      </w:rPr>
      <mc:AlternateContent>
        <mc:Choice Requires="wps">
          <w:drawing>
            <wp:anchor distT="0" distB="0" distL="114300" distR="114300" simplePos="0" relativeHeight="251663360" behindDoc="1" locked="0" layoutInCell="1" allowOverlap="1" wp14:anchorId="55C4ED53" wp14:editId="10E7DB93">
              <wp:simplePos x="0" y="0"/>
              <wp:positionH relativeFrom="page">
                <wp:align>center</wp:align>
              </wp:positionH>
              <wp:positionV relativeFrom="page">
                <wp:align>center</wp:align>
              </wp:positionV>
              <wp:extent cx="4964430" cy="1724025"/>
              <wp:effectExtent l="0" t="0" r="0" b="0"/>
              <wp:wrapNone/>
              <wp:docPr id="3" name="Text Box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964430" cy="1724025"/>
                      </a:xfrm>
                      <a:prstGeom prst="rect">
                        <a:avLst/>
                      </a:prstGeom>
                      <a:extLst>
                        <a:ext uri="{AF507438-7753-43E0-B8FC-AC1667EBCBE1}">
                          <a14:hiddenEffects xmlns:a14="http://schemas.microsoft.com/office/drawing/2010/main">
                            <a:effectLst/>
                          </a14:hiddenEffects>
                        </a:ext>
                      </a:extLst>
                    </wps:spPr>
                    <wps:txbx>
                      <w:txbxContent>
                        <w:p w14:paraId="7ED15A5F" w14:textId="77777777" w:rsidR="00A56D1A" w:rsidRDefault="00A56D1A">
                          <w:pPr>
                            <w:pStyle w:val="Titolo"/>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5C4ED53" id="_x0000_t202" coordsize="21600,21600" o:spt="202" path="m,l,21600r21600,l21600,xe">
              <v:stroke joinstyle="miter"/>
              <v:path gradientshapeok="t" o:connecttype="rect"/>
            </v:shapetype>
            <v:shape id="Text Box 3 KISDraft" o:spid="_x0000_s1062" type="#_x0000_t202" style="position:absolute;left:0;text-align:left;margin-left:0;margin-top:0;width:390.9pt;height:135.75pt;rotation:-45;z-index:-25165312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" filled="f" stroked="f">
              <o:lock v:ext="edit" shapetype="t"/>
              <v:textbox style="mso-fit-shape-to-text:t">
                <w:txbxContent>
                  <w:p w14:paraId="7ED15A5F" w14:textId="77777777" w:rsidR="00A56D1A" w:rsidRDefault="00A56D1A">
                    <w:pPr>
                      <w:pStyle w:val="Titolo"/>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AFF36" w14:textId="45DF5AA2" w:rsidR="00A56D1A" w:rsidRPr="00997C93" w:rsidRDefault="00A56D1A" w:rsidP="00997C93">
    <w:pPr>
      <w:pStyle w:val="Intestazione"/>
      <w:jc w:val="right"/>
      <w:rPr>
        <w:b/>
        <w:i/>
        <w:sz w:val="20"/>
      </w:rPr>
    </w:pPr>
    <w:r w:rsidRPr="00997C93">
      <w:rPr>
        <w:b/>
        <w:i/>
        <w:sz w:val="20"/>
      </w:rPr>
      <w:t>Vimercati S.p.A.</w:t>
    </w:r>
  </w:p>
  <w:p w14:paraId="3B3D8FBD" w14:textId="77777777" w:rsidR="00A56D1A" w:rsidRPr="00997C93" w:rsidRDefault="00A56D1A" w:rsidP="00997C93">
    <w:pPr>
      <w:pStyle w:val="Intestazione"/>
      <w:jc w:val="right"/>
      <w:rPr>
        <w:i/>
        <w:sz w:val="20"/>
      </w:rPr>
    </w:pPr>
    <w:r w:rsidRPr="00997C93">
      <w:rPr>
        <w:i/>
        <w:sz w:val="20"/>
      </w:rPr>
      <w:t>Masterfile</w:t>
    </w:r>
  </w:p>
  <w:p w14:paraId="43C00653" w14:textId="741A0ED7" w:rsidR="00A56D1A" w:rsidRPr="00997C93" w:rsidRDefault="00A56D1A" w:rsidP="00997C93">
    <w:pPr>
      <w:pStyle w:val="Intestazione"/>
      <w:jc w:val="right"/>
      <w:rPr>
        <w:i/>
        <w:sz w:val="20"/>
      </w:rPr>
    </w:pPr>
    <w:r w:rsidRPr="00997C93">
      <w:rPr>
        <w:i/>
        <w:sz w:val="20"/>
      </w:rPr>
      <w:t>Periodo d’imposta 201</w:t>
    </w:r>
    <w:r>
      <w:rPr>
        <w:i/>
        <w:sz w:val="20"/>
      </w:rPr>
      <w:t>8</w:t>
    </w:r>
    <w:r w:rsidRPr="00683F51">
      <w:rPr>
        <w:i/>
        <w:noProof/>
        <w:sz w:val="20"/>
        <w:lang w:eastAsia="it-IT"/>
      </w:rPr>
      <mc:AlternateContent>
        <mc:Choice Requires="wps">
          <w:drawing>
            <wp:anchor distT="0" distB="0" distL="114300" distR="114300" simplePos="0" relativeHeight="251659264" behindDoc="1" locked="0" layoutInCell="1" allowOverlap="1" wp14:anchorId="3E7609B9" wp14:editId="26B83476">
              <wp:simplePos x="0" y="0"/>
              <wp:positionH relativeFrom="page">
                <wp:align>center</wp:align>
              </wp:positionH>
              <wp:positionV relativeFrom="page">
                <wp:align>center</wp:align>
              </wp:positionV>
              <wp:extent cx="4964430" cy="1724025"/>
              <wp:effectExtent l="0" t="0" r="0" b="0"/>
              <wp:wrapNone/>
              <wp:docPr id="8" name="Text Box 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964430" cy="1724025"/>
                      </a:xfrm>
                      <a:prstGeom prst="rect">
                        <a:avLst/>
                      </a:prstGeom>
                      <a:extLst>
                        <a:ext uri="{AF507438-7753-43E0-B8FC-AC1667EBCBE1}">
                          <a14:hiddenEffects xmlns:a14="http://schemas.microsoft.com/office/drawing/2010/main">
                            <a:effectLst/>
                          </a14:hiddenEffects>
                        </a:ext>
                      </a:extLst>
                    </wps:spPr>
                    <wps:txbx>
                      <w:txbxContent>
                        <w:p w14:paraId="515FC53D" w14:textId="77777777" w:rsidR="00A56D1A" w:rsidRDefault="00A56D1A">
                          <w:pPr>
                            <w:pStyle w:val="Titolo"/>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E7609B9" id="_x0000_t202" coordsize="21600,21600" o:spt="202" path="m,l,21600r21600,l21600,xe">
              <v:stroke joinstyle="miter"/>
              <v:path gradientshapeok="t" o:connecttype="rect"/>
            </v:shapetype>
            <v:shape id="Text Box 8 KISDraft" o:spid="_x0000_s1063" type="#_x0000_t202" style="position:absolute;left:0;text-align:left;margin-left:0;margin-top:0;width:390.9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" filled="f" stroked="f">
              <o:lock v:ext="edit" shapetype="t"/>
              <v:textbox style="mso-fit-shape-to-text:t">
                <w:txbxContent>
                  <w:p w14:paraId="515FC53D" w14:textId="77777777" w:rsidR="00A56D1A" w:rsidRDefault="00A56D1A">
                    <w:pPr>
                      <w:pStyle w:val="Titolo"/>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35B47" w14:textId="11C3B4D5" w:rsidR="00A56D1A" w:rsidRDefault="00A56D1A">
    <w:pPr>
      <w:pStyle w:val="Intestazione"/>
    </w:pPr>
    <w:r>
      <w:rPr>
        <w:noProof/>
        <w:lang w:eastAsia="it-IT"/>
      </w:rPr>
      <mc:AlternateContent>
        <mc:Choice Requires="wps">
          <w:drawing>
            <wp:anchor distT="0" distB="0" distL="114300" distR="114300" simplePos="0" relativeHeight="251661312" behindDoc="1" locked="0" layoutInCell="1" allowOverlap="1" wp14:anchorId="03C14B24" wp14:editId="1BFD0C13">
              <wp:simplePos x="0" y="0"/>
              <wp:positionH relativeFrom="page">
                <wp:align>center</wp:align>
              </wp:positionH>
              <wp:positionV relativeFrom="page">
                <wp:align>center</wp:align>
              </wp:positionV>
              <wp:extent cx="4964430" cy="1724025"/>
              <wp:effectExtent l="0" t="0" r="0" b="0"/>
              <wp:wrapNone/>
              <wp:docPr id="2" name="Text Box 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964430" cy="1724025"/>
                      </a:xfrm>
                      <a:prstGeom prst="rect">
                        <a:avLst/>
                      </a:prstGeom>
                      <a:extLst>
                        <a:ext uri="{AF507438-7753-43E0-B8FC-AC1667EBCBE1}">
                          <a14:hiddenEffects xmlns:a14="http://schemas.microsoft.com/office/drawing/2010/main">
                            <a:effectLst/>
                          </a14:hiddenEffects>
                        </a:ext>
                      </a:extLst>
                    </wps:spPr>
                    <wps:txbx>
                      <w:txbxContent>
                        <w:p w14:paraId="296C675E" w14:textId="77777777" w:rsidR="00A56D1A" w:rsidRDefault="00A56D1A">
                          <w:pPr>
                            <w:pStyle w:val="Titolo"/>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C14B24" id="_x0000_t202" coordsize="21600,21600" o:spt="202" path="m,l,21600r21600,l21600,xe">
              <v:stroke joinstyle="miter"/>
              <v:path gradientshapeok="t" o:connecttype="rect"/>
            </v:shapetype>
            <v:shape id="Text Box 2 KISDraft" o:spid="_x0000_s1064" type="#_x0000_t202" style="position:absolute;left:0;text-align:left;margin-left:0;margin-top:0;width:390.9pt;height:135.75pt;rotation:-45;z-index:-25165516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" filled="f" stroked="f">
              <o:lock v:ext="edit" shapetype="t"/>
              <v:textbox style="mso-fit-shape-to-text:t">
                <w:txbxContent>
                  <w:p w14:paraId="296C675E" w14:textId="77777777" w:rsidR="00A56D1A" w:rsidRDefault="00A56D1A">
                    <w:pPr>
                      <w:pStyle w:val="Titolo"/>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A5324"/>
    <w:multiLevelType w:val="hybridMultilevel"/>
    <w:tmpl w:val="894A674E"/>
    <w:lvl w:ilvl="0" w:tplc="1E7E1F56">
      <w:start w:val="1"/>
      <w:numFmt w:val="bullet"/>
      <w:lvlText w:val="-"/>
      <w:lvlJc w:val="left"/>
      <w:pPr>
        <w:ind w:left="720" w:hanging="360"/>
      </w:pPr>
      <w:rPr>
        <w:rFonts w:ascii="Times New Roman" w:eastAsia="Calibri"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F681D"/>
    <w:multiLevelType w:val="hybridMultilevel"/>
    <w:tmpl w:val="C596A9B8"/>
    <w:lvl w:ilvl="0" w:tplc="417E021C">
      <w:start w:val="1"/>
      <w:numFmt w:val="bullet"/>
      <w:lvlText w:val=""/>
      <w:lvlJc w:val="left"/>
      <w:pPr>
        <w:ind w:left="720" w:hanging="360"/>
      </w:pPr>
      <w:rPr>
        <w:rFonts w:ascii="Symbol" w:hAnsi="Symbo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2F34BA"/>
    <w:multiLevelType w:val="hybridMultilevel"/>
    <w:tmpl w:val="10FCE55C"/>
    <w:lvl w:ilvl="0" w:tplc="0E60BDBC">
      <w:start w:val="1"/>
      <w:numFmt w:val="bullet"/>
      <w:lvlText w:val=""/>
      <w:lvlJc w:val="left"/>
      <w:pPr>
        <w:tabs>
          <w:tab w:val="num" w:pos="720"/>
        </w:tabs>
        <w:ind w:left="720" w:hanging="360"/>
      </w:pPr>
      <w:rPr>
        <w:rFonts w:ascii="Symbol" w:hAnsi="Symbol" w:hint="default"/>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B57C8"/>
    <w:multiLevelType w:val="multilevel"/>
    <w:tmpl w:val="D66EE17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7F4F42"/>
    <w:multiLevelType w:val="hybridMultilevel"/>
    <w:tmpl w:val="DDA0E3A2"/>
    <w:lvl w:ilvl="0" w:tplc="0E60BDBC">
      <w:start w:val="1"/>
      <w:numFmt w:val="bullet"/>
      <w:lvlText w:val=""/>
      <w:lvlJc w:val="left"/>
      <w:pPr>
        <w:tabs>
          <w:tab w:val="num" w:pos="900"/>
        </w:tabs>
        <w:ind w:left="900" w:hanging="360"/>
      </w:pPr>
      <w:rPr>
        <w:rFonts w:ascii="Symbol" w:hAnsi="Symbol" w:hint="default"/>
        <w:color w:val="auto"/>
        <w:sz w:val="22"/>
        <w:szCs w:val="22"/>
      </w:rPr>
    </w:lvl>
    <w:lvl w:ilvl="1" w:tplc="04100003" w:tentative="1">
      <w:start w:val="1"/>
      <w:numFmt w:val="bullet"/>
      <w:lvlText w:val="o"/>
      <w:lvlJc w:val="left"/>
      <w:pPr>
        <w:tabs>
          <w:tab w:val="num" w:pos="1620"/>
        </w:tabs>
        <w:ind w:left="1620" w:hanging="360"/>
      </w:pPr>
      <w:rPr>
        <w:rFonts w:ascii="Courier New" w:hAnsi="Courier New" w:cs="Courier New" w:hint="default"/>
      </w:rPr>
    </w:lvl>
    <w:lvl w:ilvl="2" w:tplc="04100005" w:tentative="1">
      <w:start w:val="1"/>
      <w:numFmt w:val="bullet"/>
      <w:lvlText w:val=""/>
      <w:lvlJc w:val="left"/>
      <w:pPr>
        <w:tabs>
          <w:tab w:val="num" w:pos="2340"/>
        </w:tabs>
        <w:ind w:left="2340" w:hanging="360"/>
      </w:pPr>
      <w:rPr>
        <w:rFonts w:ascii="Wingdings" w:hAnsi="Wingdings" w:hint="default"/>
      </w:rPr>
    </w:lvl>
    <w:lvl w:ilvl="3" w:tplc="04100001" w:tentative="1">
      <w:start w:val="1"/>
      <w:numFmt w:val="bullet"/>
      <w:lvlText w:val=""/>
      <w:lvlJc w:val="left"/>
      <w:pPr>
        <w:tabs>
          <w:tab w:val="num" w:pos="3060"/>
        </w:tabs>
        <w:ind w:left="3060" w:hanging="360"/>
      </w:pPr>
      <w:rPr>
        <w:rFonts w:ascii="Symbol" w:hAnsi="Symbol" w:hint="default"/>
      </w:rPr>
    </w:lvl>
    <w:lvl w:ilvl="4" w:tplc="04100003" w:tentative="1">
      <w:start w:val="1"/>
      <w:numFmt w:val="bullet"/>
      <w:lvlText w:val="o"/>
      <w:lvlJc w:val="left"/>
      <w:pPr>
        <w:tabs>
          <w:tab w:val="num" w:pos="3780"/>
        </w:tabs>
        <w:ind w:left="3780" w:hanging="360"/>
      </w:pPr>
      <w:rPr>
        <w:rFonts w:ascii="Courier New" w:hAnsi="Courier New" w:cs="Courier New" w:hint="default"/>
      </w:rPr>
    </w:lvl>
    <w:lvl w:ilvl="5" w:tplc="04100005" w:tentative="1">
      <w:start w:val="1"/>
      <w:numFmt w:val="bullet"/>
      <w:lvlText w:val=""/>
      <w:lvlJc w:val="left"/>
      <w:pPr>
        <w:tabs>
          <w:tab w:val="num" w:pos="4500"/>
        </w:tabs>
        <w:ind w:left="4500" w:hanging="360"/>
      </w:pPr>
      <w:rPr>
        <w:rFonts w:ascii="Wingdings" w:hAnsi="Wingdings" w:hint="default"/>
      </w:rPr>
    </w:lvl>
    <w:lvl w:ilvl="6" w:tplc="04100001" w:tentative="1">
      <w:start w:val="1"/>
      <w:numFmt w:val="bullet"/>
      <w:lvlText w:val=""/>
      <w:lvlJc w:val="left"/>
      <w:pPr>
        <w:tabs>
          <w:tab w:val="num" w:pos="5220"/>
        </w:tabs>
        <w:ind w:left="5220" w:hanging="360"/>
      </w:pPr>
      <w:rPr>
        <w:rFonts w:ascii="Symbol" w:hAnsi="Symbol" w:hint="default"/>
      </w:rPr>
    </w:lvl>
    <w:lvl w:ilvl="7" w:tplc="04100003" w:tentative="1">
      <w:start w:val="1"/>
      <w:numFmt w:val="bullet"/>
      <w:lvlText w:val="o"/>
      <w:lvlJc w:val="left"/>
      <w:pPr>
        <w:tabs>
          <w:tab w:val="num" w:pos="5940"/>
        </w:tabs>
        <w:ind w:left="5940" w:hanging="360"/>
      </w:pPr>
      <w:rPr>
        <w:rFonts w:ascii="Courier New" w:hAnsi="Courier New" w:cs="Courier New" w:hint="default"/>
      </w:rPr>
    </w:lvl>
    <w:lvl w:ilvl="8" w:tplc="0410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0F43383A"/>
    <w:multiLevelType w:val="hybridMultilevel"/>
    <w:tmpl w:val="91F007CC"/>
    <w:lvl w:ilvl="0" w:tplc="C036517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794F01"/>
    <w:multiLevelType w:val="hybridMultilevel"/>
    <w:tmpl w:val="3A286B0A"/>
    <w:lvl w:ilvl="0" w:tplc="04100005">
      <w:start w:val="1"/>
      <w:numFmt w:val="bullet"/>
      <w:lvlText w:val=""/>
      <w:lvlJc w:val="left"/>
      <w:pPr>
        <w:ind w:left="1077" w:hanging="360"/>
      </w:pPr>
      <w:rPr>
        <w:rFonts w:ascii="Wingdings" w:hAnsi="Wingdings" w:hint="default"/>
        <w:color w:val="auto"/>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 w15:restartNumberingAfterBreak="0">
    <w:nsid w:val="1134249A"/>
    <w:multiLevelType w:val="hybridMultilevel"/>
    <w:tmpl w:val="C330A8E4"/>
    <w:lvl w:ilvl="0" w:tplc="19D2DE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19D6698"/>
    <w:multiLevelType w:val="hybridMultilevel"/>
    <w:tmpl w:val="38A6AEEA"/>
    <w:lvl w:ilvl="0" w:tplc="0410000F">
      <w:start w:val="1"/>
      <w:numFmt w:val="decimal"/>
      <w:lvlText w:val="%1."/>
      <w:lvlJc w:val="left"/>
      <w:pPr>
        <w:tabs>
          <w:tab w:val="num" w:pos="795"/>
        </w:tabs>
        <w:ind w:left="795" w:hanging="360"/>
      </w:pPr>
    </w:lvl>
    <w:lvl w:ilvl="1" w:tplc="04100019" w:tentative="1">
      <w:start w:val="1"/>
      <w:numFmt w:val="lowerLetter"/>
      <w:lvlText w:val="%2."/>
      <w:lvlJc w:val="left"/>
      <w:pPr>
        <w:tabs>
          <w:tab w:val="num" w:pos="1515"/>
        </w:tabs>
        <w:ind w:left="1515" w:hanging="360"/>
      </w:pPr>
    </w:lvl>
    <w:lvl w:ilvl="2" w:tplc="0410001B" w:tentative="1">
      <w:start w:val="1"/>
      <w:numFmt w:val="lowerRoman"/>
      <w:lvlText w:val="%3."/>
      <w:lvlJc w:val="right"/>
      <w:pPr>
        <w:tabs>
          <w:tab w:val="num" w:pos="2235"/>
        </w:tabs>
        <w:ind w:left="2235" w:hanging="180"/>
      </w:pPr>
    </w:lvl>
    <w:lvl w:ilvl="3" w:tplc="0410000F" w:tentative="1">
      <w:start w:val="1"/>
      <w:numFmt w:val="decimal"/>
      <w:lvlText w:val="%4."/>
      <w:lvlJc w:val="left"/>
      <w:pPr>
        <w:tabs>
          <w:tab w:val="num" w:pos="2955"/>
        </w:tabs>
        <w:ind w:left="2955" w:hanging="360"/>
      </w:pPr>
    </w:lvl>
    <w:lvl w:ilvl="4" w:tplc="04100019" w:tentative="1">
      <w:start w:val="1"/>
      <w:numFmt w:val="lowerLetter"/>
      <w:lvlText w:val="%5."/>
      <w:lvlJc w:val="left"/>
      <w:pPr>
        <w:tabs>
          <w:tab w:val="num" w:pos="3675"/>
        </w:tabs>
        <w:ind w:left="3675" w:hanging="360"/>
      </w:pPr>
    </w:lvl>
    <w:lvl w:ilvl="5" w:tplc="0410001B" w:tentative="1">
      <w:start w:val="1"/>
      <w:numFmt w:val="lowerRoman"/>
      <w:lvlText w:val="%6."/>
      <w:lvlJc w:val="right"/>
      <w:pPr>
        <w:tabs>
          <w:tab w:val="num" w:pos="4395"/>
        </w:tabs>
        <w:ind w:left="4395" w:hanging="180"/>
      </w:pPr>
    </w:lvl>
    <w:lvl w:ilvl="6" w:tplc="0410000F" w:tentative="1">
      <w:start w:val="1"/>
      <w:numFmt w:val="decimal"/>
      <w:lvlText w:val="%7."/>
      <w:lvlJc w:val="left"/>
      <w:pPr>
        <w:tabs>
          <w:tab w:val="num" w:pos="5115"/>
        </w:tabs>
        <w:ind w:left="5115" w:hanging="360"/>
      </w:pPr>
    </w:lvl>
    <w:lvl w:ilvl="7" w:tplc="04100019" w:tentative="1">
      <w:start w:val="1"/>
      <w:numFmt w:val="lowerLetter"/>
      <w:lvlText w:val="%8."/>
      <w:lvlJc w:val="left"/>
      <w:pPr>
        <w:tabs>
          <w:tab w:val="num" w:pos="5835"/>
        </w:tabs>
        <w:ind w:left="5835" w:hanging="360"/>
      </w:pPr>
    </w:lvl>
    <w:lvl w:ilvl="8" w:tplc="0410001B" w:tentative="1">
      <w:start w:val="1"/>
      <w:numFmt w:val="lowerRoman"/>
      <w:lvlText w:val="%9."/>
      <w:lvlJc w:val="right"/>
      <w:pPr>
        <w:tabs>
          <w:tab w:val="num" w:pos="6555"/>
        </w:tabs>
        <w:ind w:left="6555" w:hanging="180"/>
      </w:pPr>
    </w:lvl>
  </w:abstractNum>
  <w:abstractNum w:abstractNumId="9" w15:restartNumberingAfterBreak="0">
    <w:nsid w:val="182C09B9"/>
    <w:multiLevelType w:val="hybridMultilevel"/>
    <w:tmpl w:val="82B01452"/>
    <w:lvl w:ilvl="0" w:tplc="19D2DE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503A5"/>
    <w:multiLevelType w:val="multilevel"/>
    <w:tmpl w:val="6972AE20"/>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CA17ADA"/>
    <w:multiLevelType w:val="hybridMultilevel"/>
    <w:tmpl w:val="0F0460A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3133BB8"/>
    <w:multiLevelType w:val="hybridMultilevel"/>
    <w:tmpl w:val="86A4A9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D23A3E"/>
    <w:multiLevelType w:val="multilevel"/>
    <w:tmpl w:val="86A4A98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9CE79F9"/>
    <w:multiLevelType w:val="hybridMultilevel"/>
    <w:tmpl w:val="2974BD72"/>
    <w:lvl w:ilvl="0" w:tplc="C036517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ED342C"/>
    <w:multiLevelType w:val="hybridMultilevel"/>
    <w:tmpl w:val="51B27C16"/>
    <w:lvl w:ilvl="0" w:tplc="19D2DE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B161AA"/>
    <w:multiLevelType w:val="hybridMultilevel"/>
    <w:tmpl w:val="16C2508A"/>
    <w:lvl w:ilvl="0" w:tplc="58AC5A52">
      <w:numFmt w:val="bullet"/>
      <w:lvlText w:val="-"/>
      <w:lvlJc w:val="left"/>
      <w:pPr>
        <w:tabs>
          <w:tab w:val="num" w:pos="420"/>
        </w:tabs>
        <w:ind w:left="420" w:hanging="360"/>
      </w:pPr>
      <w:rPr>
        <w:rFonts w:ascii="Verdana" w:eastAsia="Times New Roman" w:hAnsi="Verdan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F32F6"/>
    <w:multiLevelType w:val="hybridMultilevel"/>
    <w:tmpl w:val="79AC27C2"/>
    <w:lvl w:ilvl="0" w:tplc="A170EF3C">
      <w:start w:val="1"/>
      <w:numFmt w:val="bullet"/>
      <w:lvlText w:val=""/>
      <w:lvlJc w:val="left"/>
      <w:pPr>
        <w:ind w:left="720" w:hanging="360"/>
      </w:pPr>
      <w:rPr>
        <w:rFonts w:ascii="Symbol" w:hAnsi="Symbol" w:hint="default"/>
        <w:color w:val="auto"/>
        <w:position w:val="0"/>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2B27FB"/>
    <w:multiLevelType w:val="hybridMultilevel"/>
    <w:tmpl w:val="86A4A9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FBD097C"/>
    <w:multiLevelType w:val="hybridMultilevel"/>
    <w:tmpl w:val="B15A45B2"/>
    <w:lvl w:ilvl="0" w:tplc="0E60BDBC">
      <w:start w:val="1"/>
      <w:numFmt w:val="bullet"/>
      <w:lvlText w:val=""/>
      <w:lvlJc w:val="left"/>
      <w:pPr>
        <w:ind w:left="720" w:hanging="360"/>
      </w:pPr>
      <w:rPr>
        <w:rFonts w:ascii="Symbol" w:hAnsi="Symbol" w:hint="default"/>
        <w:color w:val="auto"/>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BE37B2"/>
    <w:multiLevelType w:val="multilevel"/>
    <w:tmpl w:val="819CE43C"/>
    <w:lvl w:ilvl="0">
      <w:start w:val="2"/>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3EB47F2"/>
    <w:multiLevelType w:val="hybridMultilevel"/>
    <w:tmpl w:val="9D82185C"/>
    <w:lvl w:ilvl="0" w:tplc="72882CD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60443EE"/>
    <w:multiLevelType w:val="hybridMultilevel"/>
    <w:tmpl w:val="8AEE70B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1E6037B"/>
    <w:multiLevelType w:val="multilevel"/>
    <w:tmpl w:val="86A4A98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650948DE"/>
    <w:multiLevelType w:val="multilevel"/>
    <w:tmpl w:val="86A4A98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658438D0"/>
    <w:multiLevelType w:val="hybridMultilevel"/>
    <w:tmpl w:val="9DEE32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9151DA3"/>
    <w:multiLevelType w:val="hybridMultilevel"/>
    <w:tmpl w:val="7A64D1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9DD03D9"/>
    <w:multiLevelType w:val="hybridMultilevel"/>
    <w:tmpl w:val="31946B70"/>
    <w:lvl w:ilvl="0" w:tplc="A3BE2F2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372223A"/>
    <w:multiLevelType w:val="hybridMultilevel"/>
    <w:tmpl w:val="7234A778"/>
    <w:lvl w:ilvl="0" w:tplc="840680DE">
      <w:start w:val="7"/>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FAB2447"/>
    <w:multiLevelType w:val="hybridMultilevel"/>
    <w:tmpl w:val="D3D4F892"/>
    <w:lvl w:ilvl="0" w:tplc="04100001">
      <w:start w:val="1"/>
      <w:numFmt w:val="bullet"/>
      <w:lvlText w:val=""/>
      <w:lvlJc w:val="left"/>
      <w:pPr>
        <w:ind w:left="360" w:hanging="360"/>
      </w:pPr>
      <w:rPr>
        <w:rFonts w:ascii="Symbol" w:hAnsi="Symbol" w:hint="default"/>
      </w:rPr>
    </w:lvl>
    <w:lvl w:ilvl="1" w:tplc="9FACF69A">
      <w:numFmt w:val="bullet"/>
      <w:lvlText w:val="–"/>
      <w:lvlJc w:val="left"/>
      <w:pPr>
        <w:ind w:left="1080" w:hanging="360"/>
      </w:pPr>
      <w:rPr>
        <w:rFonts w:ascii="Times New Roman" w:eastAsiaTheme="minorHAnsi" w:hAnsi="Times New Roman" w:cs="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3"/>
  </w:num>
  <w:num w:numId="3">
    <w:abstractNumId w:val="29"/>
  </w:num>
  <w:num w:numId="4">
    <w:abstractNumId w:val="28"/>
  </w:num>
  <w:num w:numId="5">
    <w:abstractNumId w:val="20"/>
  </w:num>
  <w:num w:numId="6">
    <w:abstractNumId w:val="8"/>
  </w:num>
  <w:num w:numId="7">
    <w:abstractNumId w:val="5"/>
  </w:num>
  <w:num w:numId="8">
    <w:abstractNumId w:val="1"/>
  </w:num>
  <w:num w:numId="9">
    <w:abstractNumId w:val="7"/>
  </w:num>
  <w:num w:numId="10">
    <w:abstractNumId w:val="0"/>
  </w:num>
  <w:num w:numId="11">
    <w:abstractNumId w:val="6"/>
  </w:num>
  <w:num w:numId="12">
    <w:abstractNumId w:val="19"/>
  </w:num>
  <w:num w:numId="13">
    <w:abstractNumId w:val="4"/>
  </w:num>
  <w:num w:numId="14">
    <w:abstractNumId w:val="2"/>
  </w:num>
  <w:num w:numId="15">
    <w:abstractNumId w:val="16"/>
  </w:num>
  <w:num w:numId="16">
    <w:abstractNumId w:val="12"/>
  </w:num>
  <w:num w:numId="17">
    <w:abstractNumId w:val="11"/>
  </w:num>
  <w:num w:numId="18">
    <w:abstractNumId w:val="25"/>
  </w:num>
  <w:num w:numId="19">
    <w:abstractNumId w:val="22"/>
  </w:num>
  <w:num w:numId="20">
    <w:abstractNumId w:val="23"/>
  </w:num>
  <w:num w:numId="21">
    <w:abstractNumId w:val="14"/>
  </w:num>
  <w:num w:numId="22">
    <w:abstractNumId w:val="21"/>
  </w:num>
  <w:num w:numId="23">
    <w:abstractNumId w:val="9"/>
  </w:num>
  <w:num w:numId="24">
    <w:abstractNumId w:val="15"/>
  </w:num>
  <w:num w:numId="25">
    <w:abstractNumId w:val="13"/>
  </w:num>
  <w:num w:numId="26">
    <w:abstractNumId w:val="26"/>
  </w:num>
  <w:num w:numId="27">
    <w:abstractNumId w:val="18"/>
  </w:num>
  <w:num w:numId="28">
    <w:abstractNumId w:val="24"/>
  </w:num>
  <w:num w:numId="29">
    <w:abstractNumId w:val="17"/>
  </w:num>
  <w:num w:numId="3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udio Associato">
    <w15:presenceInfo w15:providerId="None" w15:userId="Studio Associ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1"/>
  </w:docVars>
  <w:rsids>
    <w:rsidRoot w:val="00997C93"/>
    <w:rsid w:val="00005A0A"/>
    <w:rsid w:val="000241CF"/>
    <w:rsid w:val="0003654D"/>
    <w:rsid w:val="00037BFF"/>
    <w:rsid w:val="00060486"/>
    <w:rsid w:val="00086F27"/>
    <w:rsid w:val="00087610"/>
    <w:rsid w:val="000A1B24"/>
    <w:rsid w:val="000A533A"/>
    <w:rsid w:val="000C0A5B"/>
    <w:rsid w:val="000C0C11"/>
    <w:rsid w:val="000F3905"/>
    <w:rsid w:val="000F3F51"/>
    <w:rsid w:val="000F6A8B"/>
    <w:rsid w:val="00110CB4"/>
    <w:rsid w:val="00151BA5"/>
    <w:rsid w:val="0019287A"/>
    <w:rsid w:val="001C09DF"/>
    <w:rsid w:val="001C5ED2"/>
    <w:rsid w:val="001E0F01"/>
    <w:rsid w:val="001E3F32"/>
    <w:rsid w:val="001F1102"/>
    <w:rsid w:val="00203A55"/>
    <w:rsid w:val="00213F33"/>
    <w:rsid w:val="00216A19"/>
    <w:rsid w:val="00217198"/>
    <w:rsid w:val="00217337"/>
    <w:rsid w:val="0022669C"/>
    <w:rsid w:val="0026238D"/>
    <w:rsid w:val="002B2015"/>
    <w:rsid w:val="002E7017"/>
    <w:rsid w:val="003254D1"/>
    <w:rsid w:val="00347883"/>
    <w:rsid w:val="00357220"/>
    <w:rsid w:val="00392221"/>
    <w:rsid w:val="00393952"/>
    <w:rsid w:val="00397197"/>
    <w:rsid w:val="003B7FBF"/>
    <w:rsid w:val="003F05AE"/>
    <w:rsid w:val="004262A9"/>
    <w:rsid w:val="00433A1B"/>
    <w:rsid w:val="00446AA6"/>
    <w:rsid w:val="00454B7B"/>
    <w:rsid w:val="00466B0D"/>
    <w:rsid w:val="0046755B"/>
    <w:rsid w:val="004717A9"/>
    <w:rsid w:val="004C0743"/>
    <w:rsid w:val="004E3271"/>
    <w:rsid w:val="004F22CB"/>
    <w:rsid w:val="00525FCA"/>
    <w:rsid w:val="00565F13"/>
    <w:rsid w:val="00565F82"/>
    <w:rsid w:val="00574863"/>
    <w:rsid w:val="0058668F"/>
    <w:rsid w:val="005924B7"/>
    <w:rsid w:val="005A25C4"/>
    <w:rsid w:val="005C755A"/>
    <w:rsid w:val="005D08DC"/>
    <w:rsid w:val="006437FD"/>
    <w:rsid w:val="00654872"/>
    <w:rsid w:val="006630D1"/>
    <w:rsid w:val="00671234"/>
    <w:rsid w:val="00683F51"/>
    <w:rsid w:val="00691941"/>
    <w:rsid w:val="006A3935"/>
    <w:rsid w:val="006E02CB"/>
    <w:rsid w:val="00706764"/>
    <w:rsid w:val="007159C7"/>
    <w:rsid w:val="007258C6"/>
    <w:rsid w:val="00754476"/>
    <w:rsid w:val="007601A3"/>
    <w:rsid w:val="00763565"/>
    <w:rsid w:val="00765ED6"/>
    <w:rsid w:val="00783B2E"/>
    <w:rsid w:val="007B3543"/>
    <w:rsid w:val="007C1E4E"/>
    <w:rsid w:val="007D187C"/>
    <w:rsid w:val="007F0E72"/>
    <w:rsid w:val="00855069"/>
    <w:rsid w:val="00875176"/>
    <w:rsid w:val="0087600B"/>
    <w:rsid w:val="00891307"/>
    <w:rsid w:val="008A2767"/>
    <w:rsid w:val="008C5A32"/>
    <w:rsid w:val="008D0E51"/>
    <w:rsid w:val="008F3CA3"/>
    <w:rsid w:val="0090429B"/>
    <w:rsid w:val="00905CDA"/>
    <w:rsid w:val="00911DED"/>
    <w:rsid w:val="009241EE"/>
    <w:rsid w:val="009407B7"/>
    <w:rsid w:val="00994A90"/>
    <w:rsid w:val="00997C93"/>
    <w:rsid w:val="009B031D"/>
    <w:rsid w:val="009D5BFE"/>
    <w:rsid w:val="009F5FC7"/>
    <w:rsid w:val="00A23B1B"/>
    <w:rsid w:val="00A32E14"/>
    <w:rsid w:val="00A506C4"/>
    <w:rsid w:val="00A56D1A"/>
    <w:rsid w:val="00A953C1"/>
    <w:rsid w:val="00A97FA7"/>
    <w:rsid w:val="00B061A0"/>
    <w:rsid w:val="00B347C2"/>
    <w:rsid w:val="00B42EC6"/>
    <w:rsid w:val="00B524D8"/>
    <w:rsid w:val="00BB18DF"/>
    <w:rsid w:val="00BE2B16"/>
    <w:rsid w:val="00BE4E5F"/>
    <w:rsid w:val="00BF16E4"/>
    <w:rsid w:val="00BF3CBA"/>
    <w:rsid w:val="00C03CF9"/>
    <w:rsid w:val="00C165CE"/>
    <w:rsid w:val="00C2678A"/>
    <w:rsid w:val="00C477CE"/>
    <w:rsid w:val="00C86569"/>
    <w:rsid w:val="00C87712"/>
    <w:rsid w:val="00C907CE"/>
    <w:rsid w:val="00CA287B"/>
    <w:rsid w:val="00CB5A01"/>
    <w:rsid w:val="00CD29FA"/>
    <w:rsid w:val="00CE26F7"/>
    <w:rsid w:val="00CE766A"/>
    <w:rsid w:val="00D237B9"/>
    <w:rsid w:val="00D27851"/>
    <w:rsid w:val="00D33673"/>
    <w:rsid w:val="00D33C51"/>
    <w:rsid w:val="00D4212F"/>
    <w:rsid w:val="00D53DBF"/>
    <w:rsid w:val="00D55A32"/>
    <w:rsid w:val="00D6298F"/>
    <w:rsid w:val="00D94D81"/>
    <w:rsid w:val="00DA3651"/>
    <w:rsid w:val="00DA4B92"/>
    <w:rsid w:val="00DA6F2E"/>
    <w:rsid w:val="00DB0E0A"/>
    <w:rsid w:val="00DE170D"/>
    <w:rsid w:val="00E037D5"/>
    <w:rsid w:val="00E04D13"/>
    <w:rsid w:val="00E168AC"/>
    <w:rsid w:val="00E20174"/>
    <w:rsid w:val="00E468A6"/>
    <w:rsid w:val="00E75FE5"/>
    <w:rsid w:val="00EA6FF7"/>
    <w:rsid w:val="00ED3E3F"/>
    <w:rsid w:val="00EF0EEA"/>
    <w:rsid w:val="00EF2F5E"/>
    <w:rsid w:val="00EF394D"/>
    <w:rsid w:val="00F03C01"/>
    <w:rsid w:val="00F16613"/>
    <w:rsid w:val="00F3508B"/>
    <w:rsid w:val="00FA0682"/>
    <w:rsid w:val="00FB3159"/>
    <w:rsid w:val="00FF3D2E"/>
    <w:rsid w:val="00FF4D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7F696B"/>
  <w15:chartTrackingRefBased/>
  <w15:docId w15:val="{3235D47D-A27B-443A-A4B0-12D2E6DD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97C93"/>
    <w:pPr>
      <w:spacing w:before="130" w:after="130" w:line="260" w:lineRule="exact"/>
      <w:jc w:val="both"/>
    </w:pPr>
    <w:rPr>
      <w:rFonts w:ascii="Times New Roman" w:hAnsi="Times New Roman"/>
    </w:rPr>
  </w:style>
  <w:style w:type="paragraph" w:styleId="Titolo1">
    <w:name w:val="heading 1"/>
    <w:basedOn w:val="Normale"/>
    <w:next w:val="Normale"/>
    <w:link w:val="Titolo1Carattere"/>
    <w:uiPriority w:val="9"/>
    <w:qFormat/>
    <w:rsid w:val="00997C93"/>
    <w:pPr>
      <w:keepNext/>
      <w:keepLines/>
      <w:spacing w:before="360" w:after="0"/>
      <w:outlineLvl w:val="0"/>
    </w:pPr>
    <w:rPr>
      <w:rFonts w:eastAsiaTheme="majorEastAsia" w:cstheme="majorBidi"/>
      <w:b/>
      <w:sz w:val="32"/>
      <w:szCs w:val="32"/>
    </w:rPr>
  </w:style>
  <w:style w:type="paragraph" w:styleId="Titolo2">
    <w:name w:val="heading 2"/>
    <w:basedOn w:val="Normale"/>
    <w:next w:val="Normale"/>
    <w:link w:val="Titolo2Carattere"/>
    <w:uiPriority w:val="9"/>
    <w:unhideWhenUsed/>
    <w:qFormat/>
    <w:rsid w:val="00997C93"/>
    <w:pPr>
      <w:keepNext/>
      <w:keepLines/>
      <w:spacing w:before="360" w:after="0" w:line="320" w:lineRule="exact"/>
      <w:outlineLvl w:val="1"/>
    </w:pPr>
    <w:rPr>
      <w:rFonts w:eastAsiaTheme="majorEastAsia" w:cstheme="majorBidi"/>
      <w:b/>
      <w:sz w:val="28"/>
      <w:szCs w:val="26"/>
    </w:rPr>
  </w:style>
  <w:style w:type="paragraph" w:styleId="Titolo3">
    <w:name w:val="heading 3"/>
    <w:basedOn w:val="Normale"/>
    <w:next w:val="Normale"/>
    <w:link w:val="Titolo3Carattere"/>
    <w:uiPriority w:val="9"/>
    <w:unhideWhenUsed/>
    <w:qFormat/>
    <w:rsid w:val="00A32E14"/>
    <w:pPr>
      <w:keepNext/>
      <w:keepLines/>
      <w:spacing w:before="360" w:after="0" w:line="280" w:lineRule="exact"/>
      <w:outlineLvl w:val="2"/>
    </w:pPr>
    <w:rPr>
      <w:rFonts w:eastAsiaTheme="majorEastAsia" w:cstheme="majorBidi"/>
      <w:b/>
      <w:sz w:val="24"/>
      <w:szCs w:val="24"/>
    </w:rPr>
  </w:style>
  <w:style w:type="paragraph" w:styleId="Titolo4">
    <w:name w:val="heading 4"/>
    <w:basedOn w:val="Normale"/>
    <w:next w:val="Normale"/>
    <w:link w:val="Titolo4Carattere"/>
    <w:uiPriority w:val="9"/>
    <w:semiHidden/>
    <w:unhideWhenUsed/>
    <w:qFormat/>
    <w:rsid w:val="00997C93"/>
    <w:pPr>
      <w:keepNext/>
      <w:keepLines/>
      <w:spacing w:before="360" w:after="0" w:line="280" w:lineRule="exact"/>
      <w:outlineLvl w:val="3"/>
    </w:pPr>
    <w:rPr>
      <w:rFonts w:eastAsiaTheme="majorEastAsia" w:cstheme="majorBidi"/>
      <w:b/>
      <w:i/>
      <w:i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997C93"/>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97C93"/>
    <w:rPr>
      <w:rFonts w:asciiTheme="majorHAnsi" w:eastAsiaTheme="majorEastAsia" w:hAnsiTheme="majorHAnsi" w:cstheme="majorBidi"/>
      <w:spacing w:val="-10"/>
      <w:kern w:val="28"/>
      <w:sz w:val="56"/>
      <w:szCs w:val="56"/>
    </w:rPr>
  </w:style>
  <w:style w:type="paragraph" w:styleId="Nessunaspaziatura">
    <w:name w:val="No Spacing"/>
    <w:uiPriority w:val="1"/>
    <w:qFormat/>
    <w:rsid w:val="00997C93"/>
    <w:pPr>
      <w:spacing w:before="40" w:after="40" w:line="240" w:lineRule="auto"/>
    </w:pPr>
    <w:rPr>
      <w:rFonts w:ascii="Times New Roman" w:hAnsi="Times New Roman"/>
      <w:sz w:val="20"/>
    </w:rPr>
  </w:style>
  <w:style w:type="paragraph" w:styleId="Intestazione">
    <w:name w:val="header"/>
    <w:basedOn w:val="Normale"/>
    <w:link w:val="IntestazioneCarattere"/>
    <w:uiPriority w:val="99"/>
    <w:unhideWhenUsed/>
    <w:rsid w:val="00997C93"/>
    <w:pPr>
      <w:tabs>
        <w:tab w:val="center" w:pos="4819"/>
        <w:tab w:val="right" w:pos="9638"/>
      </w:tabs>
      <w:spacing w:before="0" w:after="0" w:line="240" w:lineRule="auto"/>
    </w:pPr>
  </w:style>
  <w:style w:type="character" w:customStyle="1" w:styleId="IntestazioneCarattere">
    <w:name w:val="Intestazione Carattere"/>
    <w:basedOn w:val="Carpredefinitoparagrafo"/>
    <w:link w:val="Intestazione"/>
    <w:uiPriority w:val="99"/>
    <w:rsid w:val="00997C93"/>
    <w:rPr>
      <w:rFonts w:ascii="Times New Roman" w:hAnsi="Times New Roman"/>
    </w:rPr>
  </w:style>
  <w:style w:type="paragraph" w:styleId="Pidipagina">
    <w:name w:val="footer"/>
    <w:aliases w:val="Footer line 1"/>
    <w:basedOn w:val="Normale"/>
    <w:link w:val="PidipaginaCarattere"/>
    <w:uiPriority w:val="99"/>
    <w:unhideWhenUsed/>
    <w:rsid w:val="00997C93"/>
    <w:pPr>
      <w:tabs>
        <w:tab w:val="center" w:pos="4819"/>
        <w:tab w:val="right" w:pos="9638"/>
      </w:tabs>
      <w:spacing w:before="0" w:after="0" w:line="240" w:lineRule="auto"/>
    </w:pPr>
  </w:style>
  <w:style w:type="character" w:customStyle="1" w:styleId="PidipaginaCarattere">
    <w:name w:val="Piè di pagina Carattere"/>
    <w:aliases w:val="Footer line 1 Carattere"/>
    <w:basedOn w:val="Carpredefinitoparagrafo"/>
    <w:link w:val="Pidipagina"/>
    <w:uiPriority w:val="99"/>
    <w:rsid w:val="00997C93"/>
    <w:rPr>
      <w:rFonts w:ascii="Times New Roman" w:hAnsi="Times New Roman"/>
    </w:rPr>
  </w:style>
  <w:style w:type="character" w:customStyle="1" w:styleId="Titolo1Carattere">
    <w:name w:val="Titolo 1 Carattere"/>
    <w:basedOn w:val="Carpredefinitoparagrafo"/>
    <w:link w:val="Titolo1"/>
    <w:uiPriority w:val="9"/>
    <w:rsid w:val="00997C93"/>
    <w:rPr>
      <w:rFonts w:ascii="Times New Roman" w:eastAsiaTheme="majorEastAsia" w:hAnsi="Times New Roman" w:cstheme="majorBidi"/>
      <w:b/>
      <w:sz w:val="32"/>
      <w:szCs w:val="32"/>
    </w:rPr>
  </w:style>
  <w:style w:type="paragraph" w:styleId="Titolosommario">
    <w:name w:val="TOC Heading"/>
    <w:basedOn w:val="Titolo1"/>
    <w:next w:val="Normale"/>
    <w:uiPriority w:val="39"/>
    <w:unhideWhenUsed/>
    <w:qFormat/>
    <w:rsid w:val="00997C93"/>
    <w:pPr>
      <w:spacing w:line="259" w:lineRule="auto"/>
      <w:jc w:val="left"/>
      <w:outlineLvl w:val="9"/>
    </w:pPr>
    <w:rPr>
      <w:lang w:eastAsia="it-IT"/>
    </w:rPr>
  </w:style>
  <w:style w:type="character" w:customStyle="1" w:styleId="Titolo2Carattere">
    <w:name w:val="Titolo 2 Carattere"/>
    <w:basedOn w:val="Carpredefinitoparagrafo"/>
    <w:link w:val="Titolo2"/>
    <w:uiPriority w:val="9"/>
    <w:rsid w:val="00997C93"/>
    <w:rPr>
      <w:rFonts w:ascii="Times New Roman" w:eastAsiaTheme="majorEastAsia" w:hAnsi="Times New Roman" w:cstheme="majorBidi"/>
      <w:b/>
      <w:sz w:val="28"/>
      <w:szCs w:val="26"/>
    </w:rPr>
  </w:style>
  <w:style w:type="character" w:customStyle="1" w:styleId="Titolo3Carattere">
    <w:name w:val="Titolo 3 Carattere"/>
    <w:basedOn w:val="Carpredefinitoparagrafo"/>
    <w:link w:val="Titolo3"/>
    <w:uiPriority w:val="9"/>
    <w:rsid w:val="00A32E14"/>
    <w:rPr>
      <w:rFonts w:ascii="Times New Roman" w:eastAsiaTheme="majorEastAsia" w:hAnsi="Times New Roman" w:cstheme="majorBidi"/>
      <w:b/>
      <w:sz w:val="24"/>
      <w:szCs w:val="24"/>
    </w:rPr>
  </w:style>
  <w:style w:type="character" w:customStyle="1" w:styleId="Titolo4Carattere">
    <w:name w:val="Titolo 4 Carattere"/>
    <w:basedOn w:val="Carpredefinitoparagrafo"/>
    <w:link w:val="Titolo4"/>
    <w:uiPriority w:val="9"/>
    <w:semiHidden/>
    <w:rsid w:val="00997C93"/>
    <w:rPr>
      <w:rFonts w:ascii="Times New Roman" w:eastAsiaTheme="majorEastAsia" w:hAnsi="Times New Roman" w:cstheme="majorBidi"/>
      <w:b/>
      <w:i/>
      <w:iCs/>
      <w:sz w:val="24"/>
    </w:rPr>
  </w:style>
  <w:style w:type="table" w:styleId="Grigliatabella">
    <w:name w:val="Table Grid"/>
    <w:basedOn w:val="Tabellanormale"/>
    <w:uiPriority w:val="39"/>
    <w:rsid w:val="00997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407B7"/>
    <w:pPr>
      <w:spacing w:before="0"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07B7"/>
    <w:rPr>
      <w:rFonts w:ascii="Segoe UI" w:hAnsi="Segoe UI" w:cs="Segoe UI"/>
      <w:sz w:val="18"/>
      <w:szCs w:val="18"/>
    </w:rPr>
  </w:style>
  <w:style w:type="paragraph" w:styleId="Paragrafoelenco">
    <w:name w:val="List Paragraph"/>
    <w:aliases w:val="Bullet Point"/>
    <w:basedOn w:val="Normale"/>
    <w:link w:val="ParagrafoelencoCarattere"/>
    <w:uiPriority w:val="34"/>
    <w:qFormat/>
    <w:rsid w:val="009407B7"/>
    <w:pPr>
      <w:ind w:left="720"/>
      <w:contextualSpacing/>
    </w:pPr>
  </w:style>
  <w:style w:type="character" w:customStyle="1" w:styleId="ParagrafoelencoCarattere">
    <w:name w:val="Paragrafo elenco Carattere"/>
    <w:aliases w:val="Bullet Point Carattere"/>
    <w:link w:val="Paragrafoelenco"/>
    <w:uiPriority w:val="34"/>
    <w:rsid w:val="000C0A5B"/>
    <w:rPr>
      <w:rFonts w:ascii="Times New Roman" w:hAnsi="Times New Roman"/>
    </w:rPr>
  </w:style>
  <w:style w:type="paragraph" w:styleId="Testonotaapidipagina">
    <w:name w:val="footnote text"/>
    <w:aliases w:val="fn,ft,Footnote Text AG,FT,fnW,Footnotes,Footnote ak,Footnote,Style 14,fn - no space,Carácter,Carácter Char Char,footnote text, Carácter,SD Footnote Text,Footnote Text Char Char,Footnote Text Char1 Char Char,ALTS FOOTNOTE,fn 字元"/>
    <w:basedOn w:val="Normale"/>
    <w:link w:val="TestonotaapidipaginaCarattere"/>
    <w:uiPriority w:val="99"/>
    <w:unhideWhenUsed/>
    <w:qFormat/>
    <w:rsid w:val="000C0A5B"/>
    <w:pPr>
      <w:spacing w:before="0" w:after="0" w:line="240" w:lineRule="auto"/>
    </w:pPr>
    <w:rPr>
      <w:sz w:val="20"/>
      <w:szCs w:val="20"/>
    </w:rPr>
  </w:style>
  <w:style w:type="character" w:customStyle="1" w:styleId="TestonotaapidipaginaCarattere">
    <w:name w:val="Testo nota a piè di pagina Carattere"/>
    <w:aliases w:val="fn Carattere,ft Carattere,Footnote Text AG Carattere,FT Carattere,fnW Carattere,Footnotes Carattere,Footnote ak Carattere,Footnote Carattere,Style 14 Carattere,fn - no space Carattere,Carácter Carattere"/>
    <w:basedOn w:val="Carpredefinitoparagrafo"/>
    <w:link w:val="Testonotaapidipagina"/>
    <w:uiPriority w:val="99"/>
    <w:rsid w:val="000C0A5B"/>
    <w:rPr>
      <w:rFonts w:ascii="Times New Roman" w:hAnsi="Times New Roman"/>
      <w:sz w:val="20"/>
      <w:szCs w:val="20"/>
    </w:rPr>
  </w:style>
  <w:style w:type="character" w:styleId="Rimandonotaapidipagina">
    <w:name w:val="footnote reference"/>
    <w:aliases w:val="fr,Footnote ReferenceW,Style 13,o,Footnote Reference new,Style 49,Style 18,EY Footnote Reference,Footnote Arial 8 single space,fr + (Latin) Arial,(Asian) Arial,Black,Footnote Referece,Black + 10 pt,IP - Footnotes,fr1,fr2,fr3"/>
    <w:basedOn w:val="Carpredefinitoparagrafo"/>
    <w:unhideWhenUsed/>
    <w:qFormat/>
    <w:rsid w:val="000C0A5B"/>
    <w:rPr>
      <w:vertAlign w:val="superscript"/>
    </w:rPr>
  </w:style>
  <w:style w:type="character" w:styleId="Rimandocommento">
    <w:name w:val="annotation reference"/>
    <w:basedOn w:val="Carpredefinitoparagrafo"/>
    <w:uiPriority w:val="99"/>
    <w:semiHidden/>
    <w:unhideWhenUsed/>
    <w:rsid w:val="00905CDA"/>
    <w:rPr>
      <w:sz w:val="16"/>
      <w:szCs w:val="16"/>
    </w:rPr>
  </w:style>
  <w:style w:type="paragraph" w:styleId="Testocommento">
    <w:name w:val="annotation text"/>
    <w:basedOn w:val="Normale"/>
    <w:link w:val="TestocommentoCarattere"/>
    <w:uiPriority w:val="99"/>
    <w:semiHidden/>
    <w:unhideWhenUsed/>
    <w:rsid w:val="00905CD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05CDA"/>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905CDA"/>
    <w:rPr>
      <w:b/>
      <w:bCs/>
    </w:rPr>
  </w:style>
  <w:style w:type="character" w:customStyle="1" w:styleId="SoggettocommentoCarattere">
    <w:name w:val="Soggetto commento Carattere"/>
    <w:basedOn w:val="TestocommentoCarattere"/>
    <w:link w:val="Soggettocommento"/>
    <w:uiPriority w:val="99"/>
    <w:semiHidden/>
    <w:rsid w:val="00905CDA"/>
    <w:rPr>
      <w:rFonts w:ascii="Times New Roman" w:hAnsi="Times New Roman"/>
      <w:b/>
      <w:bCs/>
      <w:sz w:val="20"/>
      <w:szCs w:val="20"/>
    </w:rPr>
  </w:style>
  <w:style w:type="paragraph" w:customStyle="1" w:styleId="paragraphstyle2">
    <w:name w:val="paragraph_style_2"/>
    <w:basedOn w:val="Normale"/>
    <w:rsid w:val="00C907CE"/>
    <w:pPr>
      <w:spacing w:before="0" w:after="0" w:line="195" w:lineRule="atLeast"/>
      <w:ind w:right="540"/>
    </w:pPr>
    <w:rPr>
      <w:rFonts w:ascii="Verdana" w:eastAsia="Times New Roman" w:hAnsi="Verdana" w:cs="Times New Roman"/>
      <w:color w:val="424242"/>
      <w:sz w:val="17"/>
      <w:szCs w:val="17"/>
      <w:lang w:eastAsia="it-IT"/>
    </w:rPr>
  </w:style>
  <w:style w:type="paragraph" w:styleId="NormaleWeb">
    <w:name w:val="Normal (Web)"/>
    <w:basedOn w:val="Normale"/>
    <w:uiPriority w:val="99"/>
    <w:semiHidden/>
    <w:unhideWhenUsed/>
    <w:rsid w:val="00C907CE"/>
    <w:pPr>
      <w:spacing w:before="100" w:beforeAutospacing="1" w:after="100" w:afterAutospacing="1" w:line="240" w:lineRule="auto"/>
      <w:jc w:val="left"/>
    </w:pPr>
    <w:rPr>
      <w:rFonts w:eastAsiaTheme="minorEastAsia" w:cs="Times New Roman"/>
      <w:sz w:val="24"/>
      <w:szCs w:val="24"/>
      <w:lang w:eastAsia="it-IT"/>
    </w:rPr>
  </w:style>
  <w:style w:type="paragraph" w:customStyle="1" w:styleId="Testo">
    <w:name w:val="Testo"/>
    <w:basedOn w:val="Normale"/>
    <w:link w:val="TestoChar"/>
    <w:qFormat/>
    <w:rsid w:val="00C86569"/>
    <w:rPr>
      <w:rFonts w:eastAsia="Times New Roman" w:cs="Times New Roman"/>
      <w:szCs w:val="20"/>
      <w:lang w:val="en-US"/>
    </w:rPr>
  </w:style>
  <w:style w:type="character" w:customStyle="1" w:styleId="TestoChar">
    <w:name w:val="Testo Char"/>
    <w:link w:val="Testo"/>
    <w:rsid w:val="00C86569"/>
    <w:rPr>
      <w:rFonts w:ascii="Times New Roman" w:eastAsia="Times New Roman" w:hAnsi="Times New Roman" w:cs="Times New Roman"/>
      <w:szCs w:val="20"/>
      <w:lang w:val="en-US"/>
    </w:rPr>
  </w:style>
  <w:style w:type="paragraph" w:customStyle="1" w:styleId="BWBBody">
    <w:name w:val="BWB Body"/>
    <w:basedOn w:val="Normale"/>
    <w:rsid w:val="00A32E14"/>
    <w:pPr>
      <w:spacing w:before="120" w:after="120" w:line="300" w:lineRule="exact"/>
    </w:pPr>
    <w:rPr>
      <w:rFonts w:ascii="Garamond" w:eastAsia="SimSun" w:hAnsi="Garamond" w:cs="Times New Roman"/>
      <w:sz w:val="24"/>
      <w:szCs w:val="24"/>
      <w:lang w:val="en-US"/>
    </w:rPr>
  </w:style>
  <w:style w:type="paragraph" w:styleId="Sommario1">
    <w:name w:val="toc 1"/>
    <w:basedOn w:val="Normale"/>
    <w:next w:val="Normale"/>
    <w:autoRedefine/>
    <w:uiPriority w:val="39"/>
    <w:unhideWhenUsed/>
    <w:rsid w:val="00574863"/>
    <w:pPr>
      <w:spacing w:after="100"/>
    </w:pPr>
  </w:style>
  <w:style w:type="paragraph" w:styleId="Sommario2">
    <w:name w:val="toc 2"/>
    <w:basedOn w:val="Normale"/>
    <w:next w:val="Normale"/>
    <w:autoRedefine/>
    <w:uiPriority w:val="39"/>
    <w:unhideWhenUsed/>
    <w:rsid w:val="00574863"/>
    <w:pPr>
      <w:spacing w:after="100"/>
      <w:ind w:left="220"/>
    </w:pPr>
  </w:style>
  <w:style w:type="paragraph" w:styleId="Sommario3">
    <w:name w:val="toc 3"/>
    <w:basedOn w:val="Normale"/>
    <w:next w:val="Normale"/>
    <w:autoRedefine/>
    <w:uiPriority w:val="39"/>
    <w:unhideWhenUsed/>
    <w:rsid w:val="00574863"/>
    <w:pPr>
      <w:spacing w:after="100"/>
      <w:ind w:left="440"/>
    </w:pPr>
  </w:style>
  <w:style w:type="character" w:styleId="Collegamentoipertestuale">
    <w:name w:val="Hyperlink"/>
    <w:basedOn w:val="Carpredefinitoparagrafo"/>
    <w:uiPriority w:val="99"/>
    <w:unhideWhenUsed/>
    <w:rsid w:val="00574863"/>
    <w:rPr>
      <w:color w:val="0563C1" w:themeColor="hyperlink"/>
      <w:u w:val="single"/>
    </w:rPr>
  </w:style>
  <w:style w:type="paragraph" w:styleId="Revisione">
    <w:name w:val="Revision"/>
    <w:hidden/>
    <w:uiPriority w:val="99"/>
    <w:semiHidden/>
    <w:rsid w:val="00FA0682"/>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753">
      <w:bodyDiv w:val="1"/>
      <w:marLeft w:val="0"/>
      <w:marRight w:val="0"/>
      <w:marTop w:val="0"/>
      <w:marBottom w:val="0"/>
      <w:divBdr>
        <w:top w:val="none" w:sz="0" w:space="0" w:color="auto"/>
        <w:left w:val="none" w:sz="0" w:space="0" w:color="auto"/>
        <w:bottom w:val="none" w:sz="0" w:space="0" w:color="auto"/>
        <w:right w:val="none" w:sz="0" w:space="0" w:color="auto"/>
      </w:divBdr>
    </w:div>
    <w:div w:id="38630737">
      <w:bodyDiv w:val="1"/>
      <w:marLeft w:val="0"/>
      <w:marRight w:val="0"/>
      <w:marTop w:val="0"/>
      <w:marBottom w:val="0"/>
      <w:divBdr>
        <w:top w:val="none" w:sz="0" w:space="0" w:color="auto"/>
        <w:left w:val="none" w:sz="0" w:space="0" w:color="auto"/>
        <w:bottom w:val="none" w:sz="0" w:space="0" w:color="auto"/>
        <w:right w:val="none" w:sz="0" w:space="0" w:color="auto"/>
      </w:divBdr>
    </w:div>
    <w:div w:id="724718925">
      <w:bodyDiv w:val="1"/>
      <w:marLeft w:val="0"/>
      <w:marRight w:val="0"/>
      <w:marTop w:val="0"/>
      <w:marBottom w:val="0"/>
      <w:divBdr>
        <w:top w:val="none" w:sz="0" w:space="0" w:color="auto"/>
        <w:left w:val="none" w:sz="0" w:space="0" w:color="auto"/>
        <w:bottom w:val="none" w:sz="0" w:space="0" w:color="auto"/>
        <w:right w:val="none" w:sz="0" w:space="0" w:color="auto"/>
      </w:divBdr>
    </w:div>
    <w:div w:id="1221861653">
      <w:bodyDiv w:val="1"/>
      <w:marLeft w:val="0"/>
      <w:marRight w:val="0"/>
      <w:marTop w:val="0"/>
      <w:marBottom w:val="0"/>
      <w:divBdr>
        <w:top w:val="none" w:sz="0" w:space="0" w:color="auto"/>
        <w:left w:val="none" w:sz="0" w:space="0" w:color="auto"/>
        <w:bottom w:val="none" w:sz="0" w:space="0" w:color="auto"/>
        <w:right w:val="none" w:sz="0" w:space="0" w:color="auto"/>
      </w:divBdr>
    </w:div>
    <w:div w:id="1368221506">
      <w:bodyDiv w:val="1"/>
      <w:marLeft w:val="0"/>
      <w:marRight w:val="0"/>
      <w:marTop w:val="0"/>
      <w:marBottom w:val="0"/>
      <w:divBdr>
        <w:top w:val="none" w:sz="0" w:space="0" w:color="auto"/>
        <w:left w:val="none" w:sz="0" w:space="0" w:color="auto"/>
        <w:bottom w:val="none" w:sz="0" w:space="0" w:color="auto"/>
        <w:right w:val="none" w:sz="0" w:space="0" w:color="auto"/>
      </w:divBdr>
    </w:div>
    <w:div w:id="183587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1877E-1373-4398-A56C-3C72D5457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10242</Words>
  <Characters>58385</Characters>
  <Application>Microsoft Office Word</Application>
  <DocSecurity>0</DocSecurity>
  <Lines>486</Lines>
  <Paragraphs>136</Paragraphs>
  <ScaleCrop>false</ScaleCrop>
  <HeadingPairs>
    <vt:vector size="2" baseType="variant">
      <vt:variant>
        <vt:lpstr>Titolo</vt:lpstr>
      </vt:variant>
      <vt:variant>
        <vt:i4>1</vt:i4>
      </vt:variant>
    </vt:vector>
  </HeadingPairs>
  <TitlesOfParts>
    <vt:vector size="1" baseType="lpstr">
      <vt:lpstr/>
    </vt:vector>
  </TitlesOfParts>
  <Company>KPMG</Company>
  <LinksUpToDate>false</LinksUpToDate>
  <CharactersWithSpaces>68491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Civati, Pietro</dc:creator>
  <cp:keywords/>
  <dc:description/>
  <cp:lastModifiedBy>KPMG</cp:lastModifiedBy>
  <cp:revision>7</cp:revision>
  <dcterms:created xsi:type="dcterms:W3CDTF">2019-11-29T12:05:00Z</dcterms:created>
  <dcterms:modified xsi:type="dcterms:W3CDTF">2019-11-29T12:19:00Z</dcterms:modified>
</cp:coreProperties>
</file>